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81" w:afterLines="50" w:line="580" w:lineRule="exact"/>
        <w:jc w:val="center"/>
        <w:textAlignment w:val="auto"/>
        <w:rPr>
          <w:rFonts w:hint="eastAsia" w:ascii="黑体" w:hAnsi="黑体" w:eastAsia="黑体" w:cs="黑体"/>
          <w:kern w:val="2"/>
          <w:sz w:val="48"/>
          <w:szCs w:val="4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2"/>
          <w:sz w:val="48"/>
          <w:szCs w:val="48"/>
          <w:lang w:val="en-US" w:eastAsia="zh-CN"/>
        </w:rPr>
        <w:t>申报材料格式要求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一）申报项目须同时提供纸质材料及电子版材料，电子版材料须与纸质版材料保持内容一致（纸质版一式五份报送普宁市工业和信息化局，所有材料扫描件合并成一个PDF文件，文件命名为：企业名+项目名；涉及清单表格的，同时提交可编辑文件（文档或表格），发送至邮箱13927064346@163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二）纸质申报材料按申报指南要求提交的文件顺序排列整理，用A4纸打印并用硬皮纸作封面胶装成册，每项材料均需加盖公章（申报材料的复印件需注明：复印件与原件核对无误，财务单据可加盖财务专用章，其他加盖公章，全本加盖骑缝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（三）申报单位须保证申报材料的清晰度和完整性，对不能辨别主要内容及不按规定提供资料的，不予认定。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四）同一项目不能重复申报、多头申报中央、省、市财政资金支持，另有规定除外。同一企业及其关联企业不得重复申报同一项目。存在违规重复申报行为的，取消当年度财政资金申报资格，列入红黑名单管理，情节严重的，移交有关部门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Yzg1Mzc3YWFiOGQ2NTI4NzQxMTZlYmU0NjE5YWQifQ=="/>
  </w:docVars>
  <w:rsids>
    <w:rsidRoot w:val="5C15338B"/>
    <w:rsid w:val="5C15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423</Characters>
  <Lines>0</Lines>
  <Paragraphs>0</Paragraphs>
  <TotalTime>1</TotalTime>
  <ScaleCrop>false</ScaleCrop>
  <LinksUpToDate>false</LinksUpToDate>
  <CharactersWithSpaces>423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2022-09-30T09:08:00Z</dcterms:created>
  <dc:creator>Administrator</dc:creator>
  <cp:lastModifiedBy>Administrator</cp:lastModifiedBy>
  <dcterms:modified xsi:type="dcterms:W3CDTF">2022-09-30T09:10:40Z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BAEACB70A9224DEBB9884CE78CDE0D60</vt:lpwstr>
  </property>
</Properties>
</file>