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NEU-BZ-S92" w:hAnsi="NEU-BZ-S92" w:eastAsia="方正小标宋简体" w:cs="方正小标宋简体"/>
          <w:b w:val="0"/>
          <w:bCs w:val="0"/>
          <w:color w:val="auto"/>
          <w:sz w:val="44"/>
          <w:szCs w:val="44"/>
          <w:lang w:val="en-US" w:eastAsia="zh-CN"/>
        </w:rPr>
      </w:pPr>
      <w:r>
        <w:rPr>
          <w:rFonts w:hint="eastAsia" w:ascii="NEU-BZ-S92" w:hAnsi="NEU-BZ-S92" w:eastAsia="方正小标宋简体" w:cs="方正小标宋简体"/>
          <w:b w:val="0"/>
          <w:bCs w:val="0"/>
          <w:color w:val="auto"/>
          <w:sz w:val="44"/>
          <w:szCs w:val="44"/>
          <w:lang w:val="en-US" w:eastAsia="zh-CN"/>
        </w:rPr>
        <w:t>普宁市促进经济高质量发展财税金融支持措施</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NEU-BZ-S92" w:hAnsi="NEU-BZ-S92" w:eastAsia="方正小标宋简体" w:cs="方正小标宋简体"/>
          <w:b w:val="0"/>
          <w:bCs w:val="0"/>
          <w:color w:val="auto"/>
          <w:sz w:val="44"/>
          <w:szCs w:val="44"/>
          <w:lang w:val="en-US" w:eastAsia="zh-CN"/>
        </w:rPr>
      </w:pPr>
      <w:r>
        <w:rPr>
          <w:rFonts w:hint="eastAsia" w:ascii="NEU-BZ-S92" w:hAnsi="NEU-BZ-S92" w:eastAsia="方正小标宋简体" w:cs="方正小标宋简体"/>
          <w:b w:val="0"/>
          <w:bCs w:val="0"/>
          <w:color w:val="auto"/>
          <w:sz w:val="44"/>
          <w:szCs w:val="44"/>
          <w:lang w:val="en-US" w:eastAsia="zh-CN"/>
        </w:rPr>
        <w:t>（第二次征求意见稿）</w:t>
      </w:r>
    </w:p>
    <w:p>
      <w:pPr>
        <w:keepNext w:val="0"/>
        <w:keepLines w:val="0"/>
        <w:pageBreakBefore w:val="0"/>
        <w:kinsoku/>
        <w:wordWrap/>
        <w:overflowPunct/>
        <w:topLinePunct w:val="0"/>
        <w:autoSpaceDE/>
        <w:autoSpaceDN/>
        <w:bidi w:val="0"/>
        <w:adjustRightInd/>
        <w:snapToGrid/>
        <w:spacing w:line="560" w:lineRule="exact"/>
        <w:ind w:right="0" w:rightChars="0"/>
        <w:jc w:val="center"/>
        <w:textAlignment w:val="auto"/>
        <w:outlineLvl w:val="9"/>
        <w:rPr>
          <w:rFonts w:hint="eastAsia" w:ascii="NEU-BZ-S92" w:hAnsi="NEU-BZ-S92" w:eastAsia="方正小标宋简体" w:cs="方正小标宋简体"/>
          <w:b w:val="0"/>
          <w:bCs w:val="0"/>
          <w:color w:val="auto"/>
          <w:sz w:val="42"/>
          <w:szCs w:val="4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NEU-BZ-S92" w:hAnsi="NEU-BZ-S92" w:eastAsia="仿宋" w:cs="仿宋"/>
          <w:color w:val="auto"/>
          <w:sz w:val="32"/>
          <w:szCs w:val="32"/>
          <w:lang w:val="en-US" w:eastAsia="zh-CN"/>
        </w:rPr>
      </w:pPr>
      <w:r>
        <w:rPr>
          <w:rFonts w:hint="eastAsia" w:ascii="NEU-BZ-S92" w:hAnsi="NEU-BZ-S92" w:eastAsia="仿宋" w:cs="仿宋"/>
          <w:color w:val="auto"/>
          <w:sz w:val="32"/>
          <w:szCs w:val="32"/>
        </w:rPr>
        <w:t>为</w:t>
      </w:r>
      <w:r>
        <w:rPr>
          <w:rFonts w:hint="eastAsia" w:ascii="NEU-BZ-S92" w:hAnsi="NEU-BZ-S92" w:eastAsia="仿宋" w:cs="仿宋"/>
          <w:color w:val="auto"/>
          <w:sz w:val="32"/>
          <w:szCs w:val="32"/>
          <w:lang w:val="en-US" w:eastAsia="zh-CN"/>
        </w:rPr>
        <w:t>贯彻</w:t>
      </w:r>
      <w:r>
        <w:rPr>
          <w:rFonts w:hint="eastAsia" w:ascii="NEU-BZ-S92" w:hAnsi="NEU-BZ-S92" w:eastAsia="仿宋" w:cs="仿宋"/>
          <w:color w:val="auto"/>
          <w:sz w:val="32"/>
          <w:szCs w:val="32"/>
        </w:rPr>
        <w:t>落实</w:t>
      </w:r>
      <w:r>
        <w:rPr>
          <w:rFonts w:hint="eastAsia" w:ascii="NEU-BZ-S92" w:hAnsi="NEU-BZ-S92" w:eastAsia="仿宋" w:cs="仿宋"/>
          <w:color w:val="auto"/>
          <w:sz w:val="32"/>
          <w:szCs w:val="32"/>
          <w:lang w:val="en-US" w:eastAsia="zh-CN"/>
        </w:rPr>
        <w:t>全省高质量发展大会和揭阳市有关会议精神，进一步凝聚招商引资合力，激发市场主体活力，结合我市实际，制定本措施。</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指导思想</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NEU-BZ-S92" w:hAnsi="NEU-BZ-S92" w:eastAsia="仿宋" w:cs="仿宋"/>
          <w:color w:val="auto"/>
          <w:sz w:val="32"/>
          <w:szCs w:val="32"/>
          <w:lang w:val="en-US" w:eastAsia="zh-CN"/>
        </w:rPr>
      </w:pPr>
      <w:r>
        <w:rPr>
          <w:rFonts w:hint="eastAsia" w:ascii="NEU-BZ-S92" w:hAnsi="NEU-BZ-S92" w:eastAsia="仿宋" w:cs="仿宋"/>
          <w:color w:val="auto"/>
          <w:sz w:val="32"/>
          <w:szCs w:val="32"/>
          <w:lang w:val="en-US" w:eastAsia="zh-CN"/>
        </w:rPr>
        <w:t>坚持以习近平新时代中国特色社会主义思想为指导，深入学习贯彻党的二十大精神和习近平总书记对广东系列重要讲话、重要指示批示精神，落实省委、省政府和揭阳市委、市政府各项决策部署，紧扣高质量发展主题，大力推进招商引资，增强产业竞争力，全面加快我市产业结构优化升级，全力支持服务企业高质量发展。</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措施内容</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NEU-BZ-S92" w:hAnsi="NEU-BZ-S92" w:eastAsia="仿宋" w:cs="仿宋"/>
          <w:b/>
          <w:bCs/>
          <w:color w:val="auto"/>
          <w:sz w:val="32"/>
          <w:szCs w:val="32"/>
          <w:lang w:val="en-US" w:eastAsia="zh-CN"/>
        </w:rPr>
      </w:pPr>
      <w:r>
        <w:rPr>
          <w:rFonts w:hint="eastAsia" w:ascii="NEU-BZ-S92" w:hAnsi="NEU-BZ-S92" w:eastAsia="仿宋" w:cs="仿宋"/>
          <w:b/>
          <w:bCs/>
          <w:color w:val="auto"/>
          <w:sz w:val="32"/>
          <w:szCs w:val="32"/>
          <w:lang w:val="en-US" w:eastAsia="zh-CN"/>
        </w:rPr>
        <w:t>财政资金支持措施</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NEU-BZ-S92" w:hAnsi="NEU-BZ-S92" w:eastAsia="仿宋" w:cs="仿宋"/>
          <w:b w:val="0"/>
          <w:bCs w:val="0"/>
          <w:i w:val="0"/>
          <w:caps w:val="0"/>
          <w:color w:val="auto"/>
          <w:spacing w:val="0"/>
          <w:kern w:val="0"/>
          <w:sz w:val="32"/>
          <w:szCs w:val="32"/>
          <w:lang w:val="en-US" w:eastAsia="zh-CN"/>
        </w:rPr>
      </w:pPr>
      <w:r>
        <w:rPr>
          <w:rFonts w:hint="eastAsia" w:ascii="NEU-BZ-S92" w:hAnsi="NEU-BZ-S92" w:eastAsia="仿宋" w:cs="仿宋"/>
          <w:b w:val="0"/>
          <w:bCs w:val="0"/>
          <w:i w:val="0"/>
          <w:caps w:val="0"/>
          <w:color w:val="auto"/>
          <w:spacing w:val="0"/>
          <w:kern w:val="0"/>
          <w:sz w:val="32"/>
          <w:szCs w:val="32"/>
          <w:lang w:val="en-US" w:eastAsia="zh-CN"/>
        </w:rPr>
        <w:t>1.市财政拟安排5000万元的促进产业高质量发展专项资金，助力提升招商引资质量和水平，支持各部门出台产业扶持政策，对新引进的落户企业和产业发展项目给予奖励，支持企业技术改造和上市融资发展，鼓励企业在我市辖区内缴税纳税，发挥财政“撬动”产业高质量发展的杠杆作用。</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NEU-BZ-S92" w:hAnsi="NEU-BZ-S92" w:eastAsia="仿宋" w:cs="仿宋"/>
          <w:b w:val="0"/>
          <w:bCs w:val="0"/>
          <w:i w:val="0"/>
          <w:caps w:val="0"/>
          <w:color w:val="auto"/>
          <w:spacing w:val="0"/>
          <w:kern w:val="0"/>
          <w:sz w:val="32"/>
          <w:szCs w:val="32"/>
          <w:lang w:val="en-US" w:eastAsia="zh-CN"/>
        </w:rPr>
      </w:pPr>
      <w:r>
        <w:rPr>
          <w:rFonts w:hint="eastAsia" w:ascii="NEU-BZ-S92" w:hAnsi="NEU-BZ-S92" w:eastAsia="仿宋" w:cs="仿宋"/>
          <w:b w:val="0"/>
          <w:bCs w:val="0"/>
          <w:i w:val="0"/>
          <w:caps w:val="0"/>
          <w:color w:val="auto"/>
          <w:spacing w:val="0"/>
          <w:kern w:val="0"/>
          <w:sz w:val="32"/>
          <w:szCs w:val="32"/>
          <w:lang w:val="en-US" w:eastAsia="zh-CN"/>
        </w:rPr>
        <w:t>2.项目落地奖补优惠措施。对符合“三贡献一高一强”要求，在我市依法取得土地使用权，工商注册地、税务征管关系、统计关系、银行基本账户在我市辖区内且具有独立法人资格的企业，对</w:t>
      </w:r>
      <w:r>
        <w:rPr>
          <w:rFonts w:hint="default" w:ascii="NEU-BZ-S92" w:hAnsi="NEU-BZ-S92" w:eastAsia="仿宋" w:cs="仿宋"/>
          <w:b w:val="0"/>
          <w:bCs w:val="0"/>
          <w:i w:val="0"/>
          <w:caps w:val="0"/>
          <w:color w:val="auto"/>
          <w:spacing w:val="0"/>
          <w:kern w:val="0"/>
          <w:sz w:val="32"/>
          <w:szCs w:val="32"/>
          <w:lang w:val="en-US" w:eastAsia="zh-CN"/>
        </w:rPr>
        <w:t>其</w:t>
      </w:r>
      <w:r>
        <w:rPr>
          <w:rFonts w:hint="eastAsia" w:ascii="NEU-BZ-S92" w:hAnsi="NEU-BZ-S92" w:eastAsia="仿宋" w:cs="仿宋"/>
          <w:b w:val="0"/>
          <w:bCs w:val="0"/>
          <w:i w:val="0"/>
          <w:caps w:val="0"/>
          <w:color w:val="auto"/>
          <w:spacing w:val="0"/>
          <w:kern w:val="0"/>
          <w:sz w:val="32"/>
          <w:szCs w:val="32"/>
          <w:lang w:val="en-US" w:eastAsia="zh-CN"/>
        </w:rPr>
        <w:t>在建的工业厂房（容积率原则上在2.0以上，多层标准厂房一般不低于4层，带工业电梯且符合安全生产和环境保护要求，行政办公及生活配套设施不纳入奖励范围）按建筑面积第一层奖励30元/平方米，第二层奖励40元/平方米，第三层奖励50元/平方米，第四层及以上奖励100元/平方米的标准给予奖励，奖励资金分两阶段兑现：已竣工验收并明确投产时间后兑现50%的奖励资金，项目投产后三年内达产兑现剩余50%的奖励资金。</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NEU-BZ-S92" w:hAnsi="NEU-BZ-S92" w:eastAsia="仿宋" w:cs="仿宋"/>
          <w:b w:val="0"/>
          <w:bCs w:val="0"/>
          <w:i w:val="0"/>
          <w:caps w:val="0"/>
          <w:color w:val="auto"/>
          <w:spacing w:val="0"/>
          <w:kern w:val="0"/>
          <w:sz w:val="32"/>
          <w:szCs w:val="32"/>
          <w:lang w:val="en-US" w:eastAsia="zh-CN"/>
        </w:rPr>
      </w:pPr>
      <w:r>
        <w:rPr>
          <w:rFonts w:hint="eastAsia" w:ascii="NEU-BZ-S92" w:hAnsi="NEU-BZ-S92" w:eastAsia="仿宋" w:cs="仿宋"/>
          <w:b w:val="0"/>
          <w:bCs w:val="0"/>
          <w:i w:val="0"/>
          <w:caps w:val="0"/>
          <w:color w:val="auto"/>
          <w:spacing w:val="0"/>
          <w:kern w:val="0"/>
          <w:sz w:val="32"/>
          <w:szCs w:val="32"/>
          <w:lang w:val="en-US" w:eastAsia="zh-CN"/>
        </w:rPr>
        <w:t>3.引进项目投资奖励。对于新引进项目竣工投产后且达到协议约定条件的，按不超过实际投资额的一定比例给予补贴（获得</w:t>
      </w:r>
      <w:bookmarkStart w:id="0" w:name="_GoBack"/>
      <w:bookmarkEnd w:id="0"/>
      <w:r>
        <w:rPr>
          <w:rFonts w:hint="eastAsia" w:ascii="NEU-BZ-S92" w:hAnsi="NEU-BZ-S92" w:eastAsia="仿宋" w:cs="仿宋"/>
          <w:b w:val="0"/>
          <w:bCs w:val="0"/>
          <w:i w:val="0"/>
          <w:caps w:val="0"/>
          <w:color w:val="auto"/>
          <w:spacing w:val="0"/>
          <w:kern w:val="0"/>
          <w:sz w:val="32"/>
          <w:szCs w:val="32"/>
          <w:lang w:val="en-US" w:eastAsia="zh-CN"/>
        </w:rPr>
        <w:t>上述第2条奖励措施的工业厂房投资除外，不再重复奖励）。项目实际固定资产投资额在</w:t>
      </w:r>
      <w:r>
        <w:rPr>
          <w:rFonts w:hint="eastAsia" w:ascii="NEU-BZ-S92" w:hAnsi="NEU-BZ-S92" w:eastAsia="仿宋" w:cs="仿宋"/>
          <w:b w:val="0"/>
          <w:bCs w:val="0"/>
          <w:i w:val="0"/>
          <w:caps w:val="0"/>
          <w:color w:val="auto"/>
          <w:spacing w:val="0"/>
          <w:kern w:val="0"/>
          <w:sz w:val="32"/>
          <w:szCs w:val="32"/>
          <w:highlight w:val="none"/>
          <w:lang w:val="en-US" w:eastAsia="zh-CN"/>
        </w:rPr>
        <w:t>3000</w:t>
      </w:r>
      <w:r>
        <w:rPr>
          <w:rFonts w:hint="eastAsia" w:ascii="NEU-BZ-S92" w:hAnsi="NEU-BZ-S92" w:eastAsia="仿宋" w:cs="仿宋"/>
          <w:b w:val="0"/>
          <w:bCs w:val="0"/>
          <w:i w:val="0"/>
          <w:caps w:val="0"/>
          <w:color w:val="auto"/>
          <w:spacing w:val="0"/>
          <w:kern w:val="0"/>
          <w:sz w:val="32"/>
          <w:szCs w:val="32"/>
          <w:lang w:val="en-US" w:eastAsia="zh-CN"/>
        </w:rPr>
        <w:t>万元（含）以上，投入运营一年以上，且在我市辖区内缴纳税收的企业，按审计结果数的固定资产投资额的</w:t>
      </w:r>
      <w:r>
        <w:rPr>
          <w:rFonts w:hint="eastAsia" w:ascii="NEU-BZ-S92" w:hAnsi="NEU-BZ-S92" w:eastAsia="仿宋" w:cs="仿宋"/>
          <w:b w:val="0"/>
          <w:bCs w:val="0"/>
          <w:i w:val="0"/>
          <w:caps w:val="0"/>
          <w:color w:val="auto"/>
          <w:spacing w:val="0"/>
          <w:kern w:val="0"/>
          <w:sz w:val="32"/>
          <w:szCs w:val="32"/>
          <w:highlight w:val="none"/>
          <w:lang w:val="en-US" w:eastAsia="zh-CN"/>
        </w:rPr>
        <w:t>2%</w:t>
      </w:r>
      <w:r>
        <w:rPr>
          <w:rFonts w:hint="eastAsia" w:ascii="NEU-BZ-S92" w:hAnsi="NEU-BZ-S92" w:eastAsia="仿宋" w:cs="仿宋"/>
          <w:b w:val="0"/>
          <w:bCs w:val="0"/>
          <w:i w:val="0"/>
          <w:caps w:val="0"/>
          <w:color w:val="auto"/>
          <w:spacing w:val="0"/>
          <w:kern w:val="0"/>
          <w:sz w:val="32"/>
          <w:szCs w:val="32"/>
          <w:lang w:val="en-US" w:eastAsia="zh-CN"/>
        </w:rPr>
        <w:t>给予一次性奖励，单个项目最高奖励不超过300万元。</w:t>
      </w:r>
      <w:r>
        <w:rPr>
          <w:rFonts w:hint="eastAsia" w:ascii="NEU-BZ-S92" w:hAnsi="NEU-BZ-S92" w:eastAsia="仿宋" w:cs="仿宋"/>
          <w:b w:val="0"/>
          <w:bCs w:val="0"/>
          <w:color w:val="auto"/>
          <w:sz w:val="32"/>
          <w:szCs w:val="32"/>
          <w:lang w:val="en-US" w:eastAsia="zh-CN"/>
        </w:rPr>
        <w:t>对我市新引进投资1000万元以上的农业项目，按照“一企一策”整合涉农资金项目予以支持。</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NEU-BZ-S92" w:hAnsi="NEU-BZ-S92" w:eastAsia="仿宋" w:cs="仿宋"/>
          <w:b w:val="0"/>
          <w:bCs w:val="0"/>
          <w:i w:val="0"/>
          <w:caps w:val="0"/>
          <w:color w:val="auto"/>
          <w:spacing w:val="0"/>
          <w:kern w:val="0"/>
          <w:sz w:val="32"/>
          <w:szCs w:val="32"/>
          <w:lang w:val="en-US" w:eastAsia="zh-CN"/>
        </w:rPr>
      </w:pPr>
      <w:r>
        <w:rPr>
          <w:rFonts w:hint="eastAsia" w:ascii="NEU-BZ-S92" w:hAnsi="NEU-BZ-S92" w:eastAsia="仿宋" w:cs="仿宋"/>
          <w:b w:val="0"/>
          <w:bCs w:val="0"/>
          <w:i w:val="0"/>
          <w:caps w:val="0"/>
          <w:color w:val="auto"/>
          <w:spacing w:val="0"/>
          <w:kern w:val="0"/>
          <w:sz w:val="32"/>
          <w:szCs w:val="32"/>
          <w:lang w:val="en-US" w:eastAsia="zh-CN"/>
        </w:rPr>
        <w:t>4.企业融资贷款贴息补助。①中小企业贷款贴息补助。企业在固定资产投资、技术改造等项目发生贷款的，根据项目实际发生贷款额度，按贷款市场报价利率（LPR）计算利息金额的一定比例给予贴息补助，单个项目最高年贴息不超过</w:t>
      </w:r>
      <w:r>
        <w:rPr>
          <w:rFonts w:hint="eastAsia" w:ascii="NEU-BZ-S92" w:hAnsi="NEU-BZ-S92" w:eastAsia="仿宋" w:cs="仿宋"/>
          <w:b w:val="0"/>
          <w:bCs w:val="0"/>
          <w:i w:val="0"/>
          <w:caps w:val="0"/>
          <w:color w:val="auto"/>
          <w:spacing w:val="0"/>
          <w:kern w:val="0"/>
          <w:sz w:val="32"/>
          <w:szCs w:val="32"/>
          <w:highlight w:val="none"/>
          <w:lang w:val="en-US" w:eastAsia="zh-CN"/>
        </w:rPr>
        <w:t>30</w:t>
      </w:r>
      <w:r>
        <w:rPr>
          <w:rFonts w:hint="eastAsia" w:ascii="NEU-BZ-S92" w:hAnsi="NEU-BZ-S92" w:eastAsia="仿宋" w:cs="仿宋"/>
          <w:b w:val="0"/>
          <w:bCs w:val="0"/>
          <w:i w:val="0"/>
          <w:caps w:val="0"/>
          <w:color w:val="auto"/>
          <w:spacing w:val="0"/>
          <w:kern w:val="0"/>
          <w:sz w:val="32"/>
          <w:szCs w:val="32"/>
          <w:lang w:val="en-US" w:eastAsia="zh-CN"/>
        </w:rPr>
        <w:t>万元。②应收账款融资奖励。至2023年6月30日对符合条件帮助中小企业实现应收账款融资的供应链核心企业，通过中征应收账款融资服务平台在线确认，按实现应收账款融资年化金额不超过1%的额度给予奖励。</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NEU-BZ-S92" w:hAnsi="NEU-BZ-S92" w:eastAsia="仿宋" w:cs="仿宋"/>
          <w:b w:val="0"/>
          <w:bCs w:val="0"/>
          <w:i w:val="0"/>
          <w:caps w:val="0"/>
          <w:color w:val="auto"/>
          <w:spacing w:val="0"/>
          <w:kern w:val="0"/>
          <w:sz w:val="32"/>
          <w:szCs w:val="32"/>
          <w:lang w:val="en-US" w:eastAsia="zh-CN"/>
        </w:rPr>
      </w:pPr>
      <w:r>
        <w:rPr>
          <w:rFonts w:hint="eastAsia" w:ascii="NEU-BZ-S92" w:hAnsi="NEU-BZ-S92" w:eastAsia="仿宋" w:cs="仿宋"/>
          <w:b w:val="0"/>
          <w:bCs w:val="0"/>
          <w:i w:val="0"/>
          <w:caps w:val="0"/>
          <w:color w:val="auto"/>
          <w:spacing w:val="0"/>
          <w:kern w:val="0"/>
          <w:sz w:val="32"/>
          <w:szCs w:val="32"/>
          <w:lang w:val="en-US" w:eastAsia="zh-CN"/>
        </w:rPr>
        <w:t>5.企业上市融资奖励。凡工商注册地、税务征管关系、统计关系、银行基本账户在我市辖区内且具有独立法人资格的企业，按照《中共普宁市委 普宁市人民政府关于普宁市拟上市公司专项扶持资金实施及管理的意见》（普市发﹝2010﹞1号）规定给予奖励：在主板（A股）上市的，给予企业1200万元一次性奖励；在中小板上市的，给予企业1000万元的一次性奖励；在创业板、科创板上市的，给予企业800万元一次性奖励；在“新三板”成功挂牌的，给予企业100万元一次性奖励；在区域性股权交易市场挂牌并完成股改的，给予企业100万元一次性奖励。</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NEU-BZ-S92" w:hAnsi="NEU-BZ-S92" w:eastAsia="仿宋" w:cs="仿宋"/>
          <w:b w:val="0"/>
          <w:bCs w:val="0"/>
          <w:i w:val="0"/>
          <w:caps w:val="0"/>
          <w:color w:val="auto"/>
          <w:spacing w:val="0"/>
          <w:kern w:val="0"/>
          <w:sz w:val="32"/>
          <w:szCs w:val="32"/>
          <w:lang w:val="en-US" w:eastAsia="zh-CN"/>
        </w:rPr>
      </w:pPr>
      <w:r>
        <w:rPr>
          <w:rFonts w:hint="eastAsia" w:ascii="NEU-BZ-S92" w:hAnsi="NEU-BZ-S92" w:eastAsia="仿宋" w:cs="仿宋"/>
          <w:b w:val="0"/>
          <w:bCs w:val="0"/>
          <w:i w:val="0"/>
          <w:caps w:val="0"/>
          <w:color w:val="auto"/>
          <w:spacing w:val="0"/>
          <w:kern w:val="0"/>
          <w:sz w:val="32"/>
          <w:szCs w:val="32"/>
          <w:lang w:val="en-US" w:eastAsia="zh-CN"/>
        </w:rPr>
        <w:t>6.</w:t>
      </w:r>
      <w:r>
        <w:rPr>
          <w:rFonts w:hint="eastAsia" w:ascii="NEU-BZ-S92" w:hAnsi="NEU-BZ-S92" w:eastAsia="仿宋" w:cs="仿宋"/>
          <w:b w:val="0"/>
          <w:bCs w:val="0"/>
          <w:color w:val="auto"/>
          <w:sz w:val="32"/>
          <w:szCs w:val="32"/>
          <w:lang w:val="en-US" w:eastAsia="zh-CN"/>
        </w:rPr>
        <w:t>支持农业龙头企业发展，对我市成功创建市级产业化龙头企业的，在市级财政资金奖励的条件下，本级财政给予叠加一次性奖励10万元；成功创建县级产业化龙头企业的，本级财政给予一次性奖励8万元。扶持农业产业的“一二三”产业融合发展经营主体，重点发展生产、加工、物流、配送、销售“一条龙”大农业产业，相关项目优先纳入我市涉农统筹资金项目库，优先扶持建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NEU-BZ-S92" w:hAnsi="NEU-BZ-S92" w:eastAsia="仿宋" w:cs="仿宋"/>
          <w:b w:val="0"/>
          <w:bCs w:val="0"/>
          <w:i w:val="0"/>
          <w:caps w:val="0"/>
          <w:color w:val="auto"/>
          <w:spacing w:val="0"/>
          <w:kern w:val="0"/>
          <w:sz w:val="32"/>
          <w:szCs w:val="32"/>
          <w:lang w:val="en-US" w:eastAsia="zh-CN"/>
        </w:rPr>
      </w:pPr>
      <w:r>
        <w:rPr>
          <w:rFonts w:hint="eastAsia" w:ascii="NEU-BZ-S92" w:hAnsi="NEU-BZ-S92" w:eastAsia="仿宋" w:cs="仿宋"/>
          <w:b w:val="0"/>
          <w:bCs w:val="0"/>
          <w:i w:val="0"/>
          <w:caps w:val="0"/>
          <w:color w:val="auto"/>
          <w:spacing w:val="0"/>
          <w:kern w:val="0"/>
          <w:sz w:val="32"/>
          <w:szCs w:val="32"/>
          <w:lang w:val="en-US" w:eastAsia="zh-CN"/>
        </w:rPr>
        <w:t>7.在国务院规定的投资项目资本金制度适用范围内，</w:t>
      </w:r>
      <w:r>
        <w:rPr>
          <w:rFonts w:hint="eastAsia" w:ascii="NEU-BZ-S92" w:hAnsi="NEU-BZ-S92" w:eastAsia="仿宋" w:cs="仿宋"/>
          <w:b w:val="0"/>
          <w:bCs w:val="0"/>
          <w:color w:val="auto"/>
          <w:sz w:val="32"/>
          <w:szCs w:val="32"/>
          <w:lang w:val="en-US" w:eastAsia="zh-CN"/>
        </w:rPr>
        <w:t>支持协助</w:t>
      </w:r>
      <w:r>
        <w:rPr>
          <w:rFonts w:hint="eastAsia" w:ascii="NEU-BZ-S92" w:hAnsi="NEU-BZ-S92" w:eastAsia="仿宋" w:cs="仿宋"/>
          <w:b w:val="0"/>
          <w:bCs w:val="0"/>
          <w:color w:val="auto"/>
          <w:sz w:val="32"/>
          <w:szCs w:val="32"/>
        </w:rPr>
        <w:t>符合</w:t>
      </w:r>
      <w:r>
        <w:rPr>
          <w:rFonts w:hint="eastAsia" w:ascii="NEU-BZ-S92" w:hAnsi="NEU-BZ-S92" w:eastAsia="仿宋" w:cs="仿宋"/>
          <w:b w:val="0"/>
          <w:bCs w:val="0"/>
          <w:color w:val="auto"/>
          <w:sz w:val="32"/>
          <w:szCs w:val="32"/>
          <w:lang w:val="en-US" w:eastAsia="zh-CN"/>
        </w:rPr>
        <w:t>条件的企业重大</w:t>
      </w:r>
      <w:r>
        <w:rPr>
          <w:rFonts w:hint="eastAsia" w:ascii="NEU-BZ-S92" w:hAnsi="NEU-BZ-S92" w:eastAsia="仿宋" w:cs="仿宋"/>
          <w:b w:val="0"/>
          <w:bCs w:val="0"/>
          <w:color w:val="auto"/>
          <w:sz w:val="32"/>
          <w:szCs w:val="32"/>
        </w:rPr>
        <w:t>投资项目申报</w:t>
      </w:r>
      <w:r>
        <w:rPr>
          <w:rFonts w:hint="eastAsia" w:ascii="NEU-BZ-S92" w:hAnsi="NEU-BZ-S92" w:eastAsia="仿宋" w:cs="仿宋"/>
          <w:b w:val="0"/>
          <w:bCs w:val="0"/>
          <w:color w:val="auto"/>
          <w:sz w:val="32"/>
          <w:szCs w:val="32"/>
          <w:lang w:val="en-US" w:eastAsia="zh-CN"/>
        </w:rPr>
        <w:t>政府</w:t>
      </w:r>
      <w:r>
        <w:rPr>
          <w:rFonts w:hint="eastAsia" w:ascii="NEU-BZ-S92" w:hAnsi="NEU-BZ-S92" w:eastAsia="仿宋" w:cs="仿宋"/>
          <w:b w:val="0"/>
          <w:bCs w:val="0"/>
          <w:color w:val="auto"/>
          <w:sz w:val="32"/>
          <w:szCs w:val="32"/>
        </w:rPr>
        <w:t>专项债券支持，</w:t>
      </w:r>
      <w:r>
        <w:rPr>
          <w:rFonts w:hint="eastAsia" w:ascii="NEU-BZ-S92" w:hAnsi="NEU-BZ-S92" w:eastAsia="仿宋" w:cs="仿宋"/>
          <w:b w:val="0"/>
          <w:bCs w:val="0"/>
          <w:color w:val="auto"/>
          <w:sz w:val="32"/>
          <w:szCs w:val="32"/>
          <w:lang w:val="en-US" w:eastAsia="zh-CN"/>
        </w:rPr>
        <w:t>鼓励企业依法依规多渠道筹措投资项目资本金，优化投资供给结构，促进有效投资和风险防控紧密结合、协同推进</w:t>
      </w:r>
      <w:r>
        <w:rPr>
          <w:rFonts w:hint="eastAsia" w:ascii="NEU-BZ-S92" w:hAnsi="NEU-BZ-S92" w:eastAsia="仿宋" w:cs="仿宋"/>
          <w:b w:val="0"/>
          <w:bCs w:val="0"/>
          <w:color w:val="auto"/>
          <w:sz w:val="32"/>
          <w:szCs w:val="32"/>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NEU-BZ-S92" w:hAnsi="NEU-BZ-S92" w:eastAsia="仿宋" w:cs="仿宋"/>
          <w:b w:val="0"/>
          <w:bCs w:val="0"/>
          <w:i w:val="0"/>
          <w:caps w:val="0"/>
          <w:color w:val="auto"/>
          <w:spacing w:val="0"/>
          <w:kern w:val="0"/>
          <w:sz w:val="32"/>
          <w:szCs w:val="32"/>
          <w:lang w:val="en-US" w:eastAsia="zh-CN"/>
        </w:rPr>
      </w:pPr>
      <w:r>
        <w:rPr>
          <w:rFonts w:hint="eastAsia" w:ascii="NEU-BZ-S92" w:hAnsi="NEU-BZ-S92" w:eastAsia="仿宋" w:cs="仿宋"/>
          <w:b w:val="0"/>
          <w:bCs w:val="0"/>
          <w:i w:val="0"/>
          <w:caps w:val="0"/>
          <w:color w:val="auto"/>
          <w:spacing w:val="0"/>
          <w:kern w:val="0"/>
          <w:sz w:val="32"/>
          <w:szCs w:val="32"/>
          <w:lang w:val="en-US" w:eastAsia="zh-CN"/>
        </w:rPr>
        <w:t>8.推进数字财政建设，提升财政工作效率和服务，当好“企业服务员”。综合运用国库集中支付电子化改革成果，第一时间做好资金分配下达，资金直接从财政拨付至企业，减少中间环节，快速到位，让红利及时送到企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NEU-BZ-S92" w:hAnsi="NEU-BZ-S92" w:eastAsia="仿宋" w:cs="仿宋"/>
          <w:b w:val="0"/>
          <w:bCs w:val="0"/>
          <w:i w:val="0"/>
          <w:caps w:val="0"/>
          <w:color w:val="auto"/>
          <w:spacing w:val="0"/>
          <w:kern w:val="0"/>
          <w:sz w:val="32"/>
          <w:szCs w:val="32"/>
          <w:lang w:val="en-US" w:eastAsia="zh-CN"/>
        </w:rPr>
      </w:pPr>
      <w:r>
        <w:rPr>
          <w:rFonts w:hint="eastAsia" w:ascii="NEU-BZ-S92" w:hAnsi="NEU-BZ-S92" w:eastAsia="仿宋" w:cs="仿宋"/>
          <w:b w:val="0"/>
          <w:bCs w:val="0"/>
          <w:i w:val="0"/>
          <w:caps w:val="0"/>
          <w:color w:val="auto"/>
          <w:spacing w:val="0"/>
          <w:kern w:val="0"/>
          <w:sz w:val="32"/>
          <w:szCs w:val="32"/>
          <w:lang w:val="en-US" w:eastAsia="zh-CN"/>
        </w:rPr>
        <w:t>9.精简代理记账许可审批环节，提高审批效率。推进实施“网上办证为主，实体办证为辅”，实现“最多跑一次”，全程网办不见面审批。开通服务企业信用修复绿色通道，压缩初审办理时间，为服务业企业提供信用风险预警服务，辅助企业规避信用风险。</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NEU-BZ-S92" w:hAnsi="NEU-BZ-S92" w:eastAsia="仿宋" w:cs="仿宋"/>
          <w:b/>
          <w:bCs/>
          <w:color w:val="auto"/>
          <w:sz w:val="32"/>
          <w:szCs w:val="32"/>
          <w:highlight w:val="none"/>
          <w:lang w:val="en-US" w:eastAsia="zh-CN"/>
        </w:rPr>
      </w:pPr>
      <w:r>
        <w:rPr>
          <w:rFonts w:hint="eastAsia" w:ascii="NEU-BZ-S92" w:hAnsi="NEU-BZ-S92" w:eastAsia="仿宋" w:cs="仿宋"/>
          <w:b/>
          <w:bCs/>
          <w:i w:val="0"/>
          <w:caps w:val="0"/>
          <w:color w:val="auto"/>
          <w:spacing w:val="0"/>
          <w:kern w:val="0"/>
          <w:sz w:val="32"/>
          <w:szCs w:val="32"/>
          <w:highlight w:val="none"/>
          <w:lang w:val="en-US" w:eastAsia="zh-CN"/>
        </w:rPr>
        <w:t>（二）</w:t>
      </w:r>
      <w:r>
        <w:rPr>
          <w:rFonts w:hint="eastAsia" w:ascii="NEU-BZ-S92" w:hAnsi="NEU-BZ-S92" w:eastAsia="仿宋" w:cs="仿宋"/>
          <w:b/>
          <w:bCs/>
          <w:color w:val="auto"/>
          <w:sz w:val="32"/>
          <w:szCs w:val="32"/>
          <w:highlight w:val="none"/>
          <w:lang w:val="en-US" w:eastAsia="zh-CN"/>
        </w:rPr>
        <w:t>减税降费退税优惠政策</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NEU-BZ-S92" w:hAnsi="NEU-BZ-S92" w:eastAsia="仿宋" w:cs="仿宋"/>
          <w:b w:val="0"/>
          <w:bCs w:val="0"/>
          <w:i w:val="0"/>
          <w:caps w:val="0"/>
          <w:color w:val="auto"/>
          <w:spacing w:val="0"/>
          <w:kern w:val="0"/>
          <w:sz w:val="32"/>
          <w:szCs w:val="32"/>
          <w:highlight w:val="none"/>
          <w:lang w:val="en-US" w:eastAsia="zh-CN"/>
        </w:rPr>
      </w:pPr>
      <w:r>
        <w:rPr>
          <w:rFonts w:hint="eastAsia" w:ascii="NEU-BZ-S92" w:hAnsi="NEU-BZ-S92" w:eastAsia="仿宋" w:cs="仿宋"/>
          <w:b/>
          <w:bCs/>
          <w:i w:val="0"/>
          <w:caps w:val="0"/>
          <w:color w:val="auto"/>
          <w:spacing w:val="0"/>
          <w:kern w:val="0"/>
          <w:sz w:val="32"/>
          <w:szCs w:val="32"/>
          <w:highlight w:val="none"/>
          <w:lang w:val="en-US" w:eastAsia="zh-CN"/>
        </w:rPr>
        <w:t>1.增值税期末留抵退税优惠政策。</w:t>
      </w:r>
      <w:r>
        <w:rPr>
          <w:rFonts w:hint="eastAsia" w:ascii="NEU-BZ-S92" w:hAnsi="NEU-BZ-S92" w:eastAsia="仿宋" w:cs="仿宋"/>
          <w:b w:val="0"/>
          <w:bCs w:val="0"/>
          <w:i w:val="0"/>
          <w:caps w:val="0"/>
          <w:color w:val="auto"/>
          <w:spacing w:val="0"/>
          <w:kern w:val="0"/>
          <w:sz w:val="32"/>
          <w:szCs w:val="32"/>
          <w:highlight w:val="none"/>
          <w:lang w:val="en-US" w:eastAsia="zh-CN"/>
        </w:rPr>
        <w:t>根据《财政部 税务总局公告2022年第14号》文件，符合条件的制造业等行业企业，可以向主管税务机关申请退还增量留抵税额；对符合条件的制造业等行业大中型企业，可以向主管税务机关申请一次性退还存量留抵税额。</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NEU-BZ-S92" w:hAnsi="NEU-BZ-S92" w:eastAsia="仿宋" w:cs="仿宋"/>
          <w:b w:val="0"/>
          <w:bCs w:val="0"/>
          <w:i w:val="0"/>
          <w:caps w:val="0"/>
          <w:color w:val="auto"/>
          <w:spacing w:val="0"/>
          <w:kern w:val="0"/>
          <w:sz w:val="32"/>
          <w:szCs w:val="32"/>
          <w:highlight w:val="none"/>
          <w:lang w:val="en-US" w:eastAsia="zh-CN"/>
        </w:rPr>
      </w:pPr>
      <w:r>
        <w:rPr>
          <w:rFonts w:hint="eastAsia" w:ascii="NEU-BZ-S92" w:hAnsi="NEU-BZ-S92" w:eastAsia="仿宋" w:cs="仿宋"/>
          <w:b/>
          <w:bCs/>
          <w:i w:val="0"/>
          <w:caps w:val="0"/>
          <w:color w:val="auto"/>
          <w:spacing w:val="0"/>
          <w:kern w:val="0"/>
          <w:sz w:val="32"/>
          <w:szCs w:val="32"/>
          <w:highlight w:val="none"/>
          <w:lang w:val="en-US" w:eastAsia="zh-CN"/>
        </w:rPr>
        <w:t>2.增值税加计抵减优惠政策。</w:t>
      </w:r>
      <w:r>
        <w:rPr>
          <w:rFonts w:hint="eastAsia" w:ascii="NEU-BZ-S92" w:hAnsi="NEU-BZ-S92" w:eastAsia="仿宋" w:cs="仿宋"/>
          <w:b w:val="0"/>
          <w:bCs w:val="0"/>
          <w:i w:val="0"/>
          <w:caps w:val="0"/>
          <w:color w:val="auto"/>
          <w:spacing w:val="0"/>
          <w:kern w:val="0"/>
          <w:sz w:val="32"/>
          <w:szCs w:val="32"/>
          <w:highlight w:val="none"/>
          <w:lang w:val="en-US" w:eastAsia="zh-CN"/>
        </w:rPr>
        <w:t>根据《财政部 税务总局公告2023年第1号》文件，自2023年1月1日至2023年12月31日，生产性服务业纳税人按照当期可抵扣进项税额加计5%抵减应纳税额，生活性服务业纳税人按照当期可抵扣进项税额加计10%抵减应纳税额。</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NEU-BZ-S92" w:hAnsi="NEU-BZ-S92" w:eastAsia="仿宋" w:cs="仿宋"/>
          <w:b w:val="0"/>
          <w:bCs w:val="0"/>
          <w:i w:val="0"/>
          <w:caps w:val="0"/>
          <w:color w:val="auto"/>
          <w:spacing w:val="0"/>
          <w:kern w:val="0"/>
          <w:sz w:val="32"/>
          <w:szCs w:val="32"/>
          <w:highlight w:val="none"/>
          <w:lang w:val="en-US" w:eastAsia="zh-CN"/>
        </w:rPr>
      </w:pPr>
      <w:r>
        <w:rPr>
          <w:rFonts w:hint="eastAsia" w:ascii="NEU-BZ-S92" w:hAnsi="NEU-BZ-S92" w:eastAsia="仿宋" w:cs="仿宋"/>
          <w:b/>
          <w:bCs/>
          <w:i w:val="0"/>
          <w:caps w:val="0"/>
          <w:color w:val="auto"/>
          <w:spacing w:val="0"/>
          <w:kern w:val="0"/>
          <w:sz w:val="32"/>
          <w:szCs w:val="32"/>
          <w:highlight w:val="none"/>
          <w:lang w:val="en-US" w:eastAsia="zh-CN"/>
        </w:rPr>
        <w:t>3.资源综合利用增值税优惠政策。</w:t>
      </w:r>
      <w:r>
        <w:rPr>
          <w:rFonts w:hint="eastAsia" w:ascii="NEU-BZ-S92" w:hAnsi="NEU-BZ-S92" w:eastAsia="仿宋" w:cs="仿宋"/>
          <w:b w:val="0"/>
          <w:bCs w:val="0"/>
          <w:i w:val="0"/>
          <w:caps w:val="0"/>
          <w:color w:val="auto"/>
          <w:spacing w:val="0"/>
          <w:kern w:val="0"/>
          <w:sz w:val="32"/>
          <w:szCs w:val="32"/>
          <w:highlight w:val="none"/>
          <w:lang w:val="en-US" w:eastAsia="zh-CN"/>
        </w:rPr>
        <w:t>根据《财政部 税务总局公告2021年第40号》文件，除纳税人聘用的员工为本单位或者雇主提供的再生资源回收不征收增值税外，再生资源回收并销售的业务，均应按照规定征免增值税；对符合条件的增值税一般纳税人销售自产的资源综合利用产品和提供资源综合利用劳务，可享受增值税即征即退政策。</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NEU-BZ-S92" w:hAnsi="NEU-BZ-S92" w:eastAsia="仿宋" w:cs="仿宋"/>
          <w:b w:val="0"/>
          <w:bCs w:val="0"/>
          <w:i w:val="0"/>
          <w:caps w:val="0"/>
          <w:color w:val="auto"/>
          <w:spacing w:val="0"/>
          <w:kern w:val="0"/>
          <w:sz w:val="32"/>
          <w:szCs w:val="32"/>
          <w:highlight w:val="none"/>
          <w:lang w:val="en-US" w:eastAsia="zh-CN"/>
        </w:rPr>
      </w:pPr>
      <w:r>
        <w:rPr>
          <w:rFonts w:hint="eastAsia" w:ascii="NEU-BZ-S92" w:hAnsi="NEU-BZ-S92" w:eastAsia="仿宋" w:cs="仿宋"/>
          <w:b/>
          <w:bCs/>
          <w:i w:val="0"/>
          <w:caps w:val="0"/>
          <w:color w:val="auto"/>
          <w:spacing w:val="0"/>
          <w:kern w:val="0"/>
          <w:sz w:val="32"/>
          <w:szCs w:val="32"/>
          <w:highlight w:val="none"/>
          <w:lang w:val="en-US" w:eastAsia="zh-CN"/>
        </w:rPr>
        <w:t>4.企业所得税研发费用加计扣除优惠政策。</w:t>
      </w:r>
      <w:r>
        <w:rPr>
          <w:rFonts w:hint="eastAsia" w:ascii="NEU-BZ-S92" w:hAnsi="NEU-BZ-S92" w:eastAsia="仿宋" w:cs="仿宋"/>
          <w:b w:val="0"/>
          <w:bCs w:val="0"/>
          <w:i w:val="0"/>
          <w:caps w:val="0"/>
          <w:color w:val="auto"/>
          <w:spacing w:val="0"/>
          <w:kern w:val="0"/>
          <w:sz w:val="32"/>
          <w:szCs w:val="32"/>
          <w:highlight w:val="none"/>
          <w:lang w:val="en-US" w:eastAsia="zh-CN"/>
        </w:rPr>
        <w:t>根据《财政部 税务总局公告2021年第13号》文件，对符合条件的制造业企业开展研发活动中实际发生的研发费用，未形成无形资产计入当期损益的，在按规定据实扣除的基础上，按照实际发生额的100%在税前加计扣除；形成无形资产的，按照无形资产成本的200%在税前摊销。</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NEU-BZ-S92" w:hAnsi="NEU-BZ-S92" w:eastAsia="仿宋" w:cs="仿宋"/>
          <w:b w:val="0"/>
          <w:bCs w:val="0"/>
          <w:i w:val="0"/>
          <w:caps w:val="0"/>
          <w:color w:val="auto"/>
          <w:spacing w:val="0"/>
          <w:kern w:val="0"/>
          <w:sz w:val="32"/>
          <w:szCs w:val="32"/>
          <w:highlight w:val="none"/>
          <w:lang w:val="en-US" w:eastAsia="zh-CN"/>
        </w:rPr>
      </w:pPr>
      <w:r>
        <w:rPr>
          <w:rFonts w:hint="eastAsia" w:ascii="NEU-BZ-S92" w:hAnsi="NEU-BZ-S92" w:eastAsia="仿宋" w:cs="仿宋"/>
          <w:b/>
          <w:bCs/>
          <w:i w:val="0"/>
          <w:caps w:val="0"/>
          <w:color w:val="auto"/>
          <w:spacing w:val="0"/>
          <w:kern w:val="0"/>
          <w:sz w:val="32"/>
          <w:szCs w:val="32"/>
          <w:highlight w:val="none"/>
          <w:lang w:val="en-US" w:eastAsia="zh-CN"/>
        </w:rPr>
        <w:t>5.小微企业企业所得税优惠政策。</w:t>
      </w:r>
      <w:r>
        <w:rPr>
          <w:rFonts w:hint="eastAsia" w:ascii="NEU-BZ-S92" w:hAnsi="NEU-BZ-S92" w:eastAsia="仿宋" w:cs="仿宋"/>
          <w:b w:val="0"/>
          <w:bCs w:val="0"/>
          <w:i w:val="0"/>
          <w:caps w:val="0"/>
          <w:color w:val="auto"/>
          <w:spacing w:val="0"/>
          <w:kern w:val="0"/>
          <w:sz w:val="32"/>
          <w:szCs w:val="32"/>
          <w:highlight w:val="none"/>
          <w:lang w:val="en-US" w:eastAsia="zh-CN"/>
        </w:rPr>
        <w:t>根据《财政部 税务总局公告2022年第13号》文件，2022年1月1日至2024年12月31日，对小型微利企业年应纳税所得额超过100万元但不超过300万元的部分，减按25%计入应纳税所得额，按20%的税率缴纳企业所得税。</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NEU-BZ-S92" w:hAnsi="NEU-BZ-S92" w:eastAsia="仿宋" w:cs="仿宋"/>
          <w:b w:val="0"/>
          <w:bCs w:val="0"/>
          <w:i w:val="0"/>
          <w:caps w:val="0"/>
          <w:color w:val="auto"/>
          <w:spacing w:val="0"/>
          <w:kern w:val="0"/>
          <w:sz w:val="32"/>
          <w:szCs w:val="32"/>
          <w:highlight w:val="none"/>
          <w:lang w:val="en-US" w:eastAsia="zh-CN"/>
        </w:rPr>
      </w:pPr>
      <w:r>
        <w:rPr>
          <w:rFonts w:hint="eastAsia" w:ascii="NEU-BZ-S92" w:hAnsi="NEU-BZ-S92" w:eastAsia="仿宋" w:cs="仿宋"/>
          <w:b/>
          <w:bCs/>
          <w:i w:val="0"/>
          <w:caps w:val="0"/>
          <w:color w:val="auto"/>
          <w:spacing w:val="0"/>
          <w:kern w:val="0"/>
          <w:sz w:val="32"/>
          <w:szCs w:val="32"/>
          <w:highlight w:val="none"/>
          <w:lang w:val="en-US" w:eastAsia="zh-CN"/>
        </w:rPr>
        <w:t>6.“六税两费”优惠政策。</w:t>
      </w:r>
      <w:r>
        <w:rPr>
          <w:rFonts w:hint="eastAsia" w:ascii="NEU-BZ-S92" w:hAnsi="NEU-BZ-S92" w:eastAsia="仿宋" w:cs="仿宋"/>
          <w:b w:val="0"/>
          <w:bCs w:val="0"/>
          <w:i w:val="0"/>
          <w:caps w:val="0"/>
          <w:color w:val="auto"/>
          <w:spacing w:val="0"/>
          <w:kern w:val="0"/>
          <w:sz w:val="32"/>
          <w:szCs w:val="32"/>
          <w:highlight w:val="none"/>
          <w:lang w:val="en-US" w:eastAsia="zh-CN"/>
        </w:rPr>
        <w:t>根据《财政部 税务总局公告2022年第10号》文件，2022年1月1日至2024年12月31日，增值税小规模纳税人、小型微利企业和个体工商户可以在50%的税额幅度内减征资源税、城市维护建设税、房产税、城镇土地使用税、印花税（不含证券交易印花税）、耕地占用税和教育费附加、地方教育附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NEU-BZ-S92" w:hAnsi="NEU-BZ-S92" w:eastAsia="仿宋" w:cs="仿宋"/>
          <w:b w:val="0"/>
          <w:bCs w:val="0"/>
          <w:i w:val="0"/>
          <w:caps w:val="0"/>
          <w:color w:val="auto"/>
          <w:spacing w:val="0"/>
          <w:kern w:val="0"/>
          <w:sz w:val="32"/>
          <w:szCs w:val="32"/>
          <w:highlight w:val="none"/>
          <w:lang w:val="en-US" w:eastAsia="zh-CN"/>
        </w:rPr>
      </w:pPr>
      <w:r>
        <w:rPr>
          <w:rFonts w:hint="eastAsia" w:ascii="NEU-BZ-S92" w:hAnsi="NEU-BZ-S92" w:eastAsia="仿宋" w:cs="仿宋"/>
          <w:b/>
          <w:bCs/>
          <w:i w:val="0"/>
          <w:caps w:val="0"/>
          <w:color w:val="auto"/>
          <w:spacing w:val="0"/>
          <w:kern w:val="0"/>
          <w:sz w:val="32"/>
          <w:szCs w:val="32"/>
          <w:highlight w:val="none"/>
          <w:lang w:val="en-US" w:eastAsia="zh-CN"/>
        </w:rPr>
        <w:t>7.科技企业孵化器、大学科技园和众创空间税收优惠政策。</w:t>
      </w:r>
      <w:r>
        <w:rPr>
          <w:rFonts w:hint="eastAsia" w:ascii="NEU-BZ-S92" w:hAnsi="NEU-BZ-S92" w:eastAsia="仿宋" w:cs="仿宋"/>
          <w:b w:val="0"/>
          <w:bCs w:val="0"/>
          <w:i w:val="0"/>
          <w:caps w:val="0"/>
          <w:color w:val="auto"/>
          <w:spacing w:val="0"/>
          <w:kern w:val="0"/>
          <w:sz w:val="32"/>
          <w:szCs w:val="32"/>
          <w:highlight w:val="none"/>
          <w:lang w:val="en-US" w:eastAsia="zh-CN"/>
        </w:rPr>
        <w:t>根据《财税</w:t>
      </w:r>
      <w:r>
        <w:rPr>
          <w:rFonts w:hint="eastAsia" w:ascii="NEU-BZ-S92" w:hAnsi="NEU-BZ-S92" w:eastAsia="仿宋" w:cs="仿宋"/>
          <w:b w:val="0"/>
          <w:bCs w:val="0"/>
          <w:i w:val="0"/>
          <w:caps w:val="0"/>
          <w:color w:val="auto"/>
          <w:spacing w:val="0"/>
          <w:kern w:val="0"/>
          <w:sz w:val="32"/>
          <w:szCs w:val="32"/>
          <w:lang w:val="en-US" w:eastAsia="zh-CN"/>
        </w:rPr>
        <w:t>﹝2018﹞</w:t>
      </w:r>
      <w:r>
        <w:rPr>
          <w:rFonts w:hint="eastAsia" w:ascii="NEU-BZ-S92" w:hAnsi="NEU-BZ-S92" w:eastAsia="仿宋" w:cs="仿宋"/>
          <w:b w:val="0"/>
          <w:bCs w:val="0"/>
          <w:i w:val="0"/>
          <w:caps w:val="0"/>
          <w:color w:val="auto"/>
          <w:spacing w:val="0"/>
          <w:kern w:val="0"/>
          <w:sz w:val="32"/>
          <w:szCs w:val="32"/>
          <w:highlight w:val="none"/>
          <w:lang w:val="en-US" w:eastAsia="zh-CN"/>
        </w:rPr>
        <w:t>120号》文件，2019年1月1日至2023年12月31日，对符合条件的国家级、省级科技企业孵化器、大学科技园和国家备案众创空间自用以及无偿或通过出租等方式提供给在孵对象使用的房产、土地，免征房产税和城镇土地使用税；对其向在孵对象提供孵化服务取得的收入，免征增值税。</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NEU-BZ-S92" w:hAnsi="NEU-BZ-S92" w:eastAsia="仿宋" w:cs="仿宋"/>
          <w:b/>
          <w:bCs/>
          <w:i w:val="0"/>
          <w:caps w:val="0"/>
          <w:color w:val="auto"/>
          <w:spacing w:val="0"/>
          <w:kern w:val="0"/>
          <w:sz w:val="32"/>
          <w:szCs w:val="32"/>
          <w:highlight w:val="none"/>
          <w:lang w:val="en-US" w:eastAsia="zh-CN"/>
        </w:rPr>
      </w:pPr>
      <w:r>
        <w:rPr>
          <w:rFonts w:hint="eastAsia" w:ascii="NEU-BZ-S92" w:hAnsi="NEU-BZ-S92" w:eastAsia="仿宋" w:cs="仿宋"/>
          <w:b/>
          <w:bCs/>
          <w:i w:val="0"/>
          <w:caps w:val="0"/>
          <w:color w:val="auto"/>
          <w:spacing w:val="0"/>
          <w:kern w:val="0"/>
          <w:sz w:val="32"/>
          <w:szCs w:val="32"/>
          <w:highlight w:val="none"/>
          <w:lang w:val="en-US" w:eastAsia="zh-CN"/>
        </w:rPr>
        <w:t>8.其他现行有效的税费优惠政策。</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NEU-BZ-S92" w:hAnsi="NEU-BZ-S92" w:eastAsia="仿宋" w:cs="仿宋"/>
          <w:b/>
          <w:bCs/>
          <w:color w:val="auto"/>
          <w:sz w:val="32"/>
          <w:szCs w:val="32"/>
          <w:lang w:val="en-US" w:eastAsia="zh-CN"/>
        </w:rPr>
      </w:pPr>
      <w:r>
        <w:rPr>
          <w:rFonts w:hint="eastAsia" w:ascii="NEU-BZ-S92" w:hAnsi="NEU-BZ-S92" w:eastAsia="仿宋" w:cs="仿宋"/>
          <w:b/>
          <w:bCs/>
          <w:color w:val="auto"/>
          <w:sz w:val="32"/>
          <w:szCs w:val="32"/>
          <w:lang w:eastAsia="zh-CN"/>
        </w:rPr>
        <w:t>（</w:t>
      </w:r>
      <w:r>
        <w:rPr>
          <w:rFonts w:hint="eastAsia" w:ascii="NEU-BZ-S92" w:hAnsi="NEU-BZ-S92" w:eastAsia="仿宋" w:cs="仿宋"/>
          <w:b/>
          <w:bCs/>
          <w:color w:val="auto"/>
          <w:sz w:val="32"/>
          <w:szCs w:val="32"/>
          <w:lang w:val="en-US" w:eastAsia="zh-CN"/>
        </w:rPr>
        <w:t>三</w:t>
      </w:r>
      <w:r>
        <w:rPr>
          <w:rFonts w:hint="eastAsia" w:ascii="NEU-BZ-S92" w:hAnsi="NEU-BZ-S92" w:eastAsia="仿宋" w:cs="仿宋"/>
          <w:b/>
          <w:bCs/>
          <w:color w:val="auto"/>
          <w:sz w:val="32"/>
          <w:szCs w:val="32"/>
          <w:lang w:eastAsia="zh-CN"/>
        </w:rPr>
        <w:t>）</w:t>
      </w:r>
      <w:r>
        <w:rPr>
          <w:rFonts w:hint="eastAsia" w:ascii="NEU-BZ-S92" w:hAnsi="NEU-BZ-S92" w:eastAsia="仿宋" w:cs="仿宋"/>
          <w:b/>
          <w:bCs/>
          <w:color w:val="auto"/>
          <w:sz w:val="32"/>
          <w:szCs w:val="32"/>
        </w:rPr>
        <w:t>融资担保</w:t>
      </w:r>
      <w:r>
        <w:rPr>
          <w:rFonts w:hint="eastAsia" w:ascii="NEU-BZ-S92" w:hAnsi="NEU-BZ-S92" w:eastAsia="仿宋" w:cs="仿宋"/>
          <w:b/>
          <w:bCs/>
          <w:color w:val="auto"/>
          <w:sz w:val="32"/>
          <w:szCs w:val="32"/>
          <w:lang w:val="en-US" w:eastAsia="zh-CN"/>
        </w:rPr>
        <w:t>和货币金融支持措施</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NEU-BZ-S92" w:hAnsi="NEU-BZ-S92" w:eastAsia="仿宋" w:cs="仿宋"/>
          <w:color w:val="auto"/>
          <w:sz w:val="32"/>
          <w:szCs w:val="32"/>
          <w:lang w:val="en-US" w:eastAsia="zh-CN"/>
        </w:rPr>
      </w:pPr>
      <w:r>
        <w:rPr>
          <w:rFonts w:hint="eastAsia" w:ascii="NEU-BZ-S92" w:hAnsi="NEU-BZ-S92" w:eastAsia="仿宋" w:cs="仿宋"/>
          <w:color w:val="auto"/>
          <w:sz w:val="32"/>
          <w:szCs w:val="32"/>
          <w:lang w:val="en-US" w:eastAsia="zh-CN"/>
        </w:rPr>
        <w:t>1.积极用好降准、再贷款再贴现、普惠小微贷款支持工具等政策，引导银行机构持续增加普惠小微贷款投放、信贷资金投向民营小微等重点领域；将商业银行开展小微企业信用贷款等相关指标作为财政资金存放管理的参考依据，推动银行机构加大对小微企业的金融支持力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NEU-BZ-S92" w:hAnsi="NEU-BZ-S92" w:eastAsia="仿宋" w:cs="仿宋"/>
          <w:color w:val="auto"/>
          <w:sz w:val="32"/>
          <w:szCs w:val="32"/>
          <w:lang w:val="en-US" w:eastAsia="zh-CN"/>
        </w:rPr>
      </w:pPr>
      <w:r>
        <w:rPr>
          <w:rFonts w:hint="eastAsia" w:ascii="NEU-BZ-S92" w:hAnsi="NEU-BZ-S92" w:eastAsia="仿宋" w:cs="仿宋"/>
          <w:color w:val="auto"/>
          <w:sz w:val="32"/>
          <w:szCs w:val="32"/>
          <w:lang w:val="en-US" w:eastAsia="zh-CN"/>
        </w:rPr>
        <w:t>2.鼓励银行机构完善循环额度贷款、无还本续贷等小微企业金融产品，提升对个体户、小微企业的金融服务效率；支持银行机构以更优惠的利率积极投放中长期贷款，引导资金投向科技创新、先进制造业与现代服务业融合发展等重点领域和关键环节。</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NEU-BZ-S92" w:hAnsi="NEU-BZ-S92" w:eastAsia="仿宋" w:cs="仿宋"/>
          <w:color w:val="auto"/>
          <w:sz w:val="32"/>
          <w:szCs w:val="32"/>
          <w:lang w:val="en-US" w:eastAsia="zh-CN"/>
        </w:rPr>
      </w:pPr>
      <w:r>
        <w:rPr>
          <w:rFonts w:hint="eastAsia" w:ascii="NEU-BZ-S92" w:hAnsi="NEU-BZ-S92" w:eastAsia="仿宋" w:cs="仿宋"/>
          <w:color w:val="auto"/>
          <w:sz w:val="32"/>
          <w:szCs w:val="32"/>
          <w:lang w:val="en-US" w:eastAsia="zh-CN"/>
        </w:rPr>
        <w:t>3.开展“护航小微 金融暖企”走访行动，提升主动服务意识和金融服务实体经济质效；发挥行业协会、专业市场管理方、监管部门等召集作用，针对纺织服装、中药材、电商等专业市场和乡村振兴、“专精特新”、科创、绿色等薄弱环节及重点领域，召开银企对接活动，搭建“银政企”零距离沟通交流平台。</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NEU-BZ-S92" w:hAnsi="NEU-BZ-S92" w:eastAsia="仿宋" w:cs="仿宋"/>
          <w:color w:val="auto"/>
          <w:sz w:val="32"/>
          <w:szCs w:val="32"/>
          <w:lang w:val="en-US" w:eastAsia="zh-CN"/>
        </w:rPr>
      </w:pPr>
      <w:r>
        <w:rPr>
          <w:rFonts w:hint="eastAsia" w:ascii="NEU-BZ-S92" w:hAnsi="NEU-BZ-S92" w:eastAsia="仿宋" w:cs="仿宋"/>
          <w:color w:val="auto"/>
          <w:sz w:val="32"/>
          <w:szCs w:val="32"/>
          <w:lang w:val="en-US" w:eastAsia="zh-CN"/>
        </w:rPr>
        <w:t>4.根据揭阳市中小微企业贷款风险补偿资金运营模式，及时收集我市符合条件的中小微企业信息，协助推送企业申请加入揭阳市重点中小微企业库，支持入库企业申请揭阳市风险补偿资金，解决中小微企业“融资难、融资贵”问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NEU-BZ-S92" w:hAnsi="NEU-BZ-S92" w:eastAsia="仿宋" w:cs="仿宋"/>
          <w:color w:val="auto"/>
          <w:sz w:val="32"/>
          <w:szCs w:val="32"/>
          <w:lang w:val="en-US" w:eastAsia="zh-CN"/>
        </w:rPr>
      </w:pPr>
      <w:r>
        <w:rPr>
          <w:rFonts w:hint="eastAsia" w:ascii="NEU-BZ-S92" w:hAnsi="NEU-BZ-S92" w:eastAsia="仿宋" w:cs="仿宋"/>
          <w:color w:val="auto"/>
          <w:sz w:val="32"/>
          <w:szCs w:val="32"/>
          <w:lang w:val="en-US" w:eastAsia="zh-CN"/>
        </w:rPr>
        <w:t>5.辖区银行机构对于列入工信部门“小升规”培育库的企业，可提供150万元的免抵押信用贷款授信额度；对于规模以上企业，推出纯信用贷款最高授信额度可达500万元；针对专精特新企业，推出纯信用贷款最高授信额度可达3000万元；加强与粤财担保、广东农担等的合作，为辖区小微企业和“三农”融资提供担保支持。</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措施规定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NEU-BZ-S92" w:hAnsi="NEU-BZ-S92" w:eastAsia="仿宋" w:cs="仿宋"/>
          <w:b w:val="0"/>
          <w:bCs w:val="0"/>
          <w:color w:val="auto"/>
          <w:sz w:val="32"/>
          <w:szCs w:val="32"/>
          <w:lang w:val="en-US" w:eastAsia="zh-CN"/>
        </w:rPr>
      </w:pPr>
      <w:r>
        <w:rPr>
          <w:rFonts w:hint="eastAsia" w:ascii="NEU-BZ-S92" w:hAnsi="NEU-BZ-S92" w:eastAsia="仿宋" w:cs="仿宋"/>
          <w:b w:val="0"/>
          <w:bCs w:val="0"/>
          <w:color w:val="auto"/>
          <w:sz w:val="32"/>
          <w:szCs w:val="32"/>
          <w:lang w:val="en-US" w:eastAsia="zh-CN"/>
        </w:rPr>
        <w:t>符合本措施规定的统一项目、同一事项同时符合我市其他扶持政策规定（含上级部门要求配套或承担资金的政策规定），按照就高不重复的原则予以支持，另有规定的除外。若本措施与上级有关政策相抵触的，以上级政策为准。本措施涉及财政资金奖补的，由各职能部门按规定出台实施细则，组织企业申报，负责审核报批等具体工作。</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有效期</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NEU-BZ-S92" w:hAnsi="NEU-BZ-S92" w:eastAsia="仿宋" w:cs="仿宋"/>
          <w:b/>
          <w:bCs/>
          <w:color w:val="auto"/>
          <w:sz w:val="32"/>
          <w:szCs w:val="32"/>
          <w:lang w:val="en-US" w:eastAsia="zh-CN"/>
        </w:rPr>
      </w:pPr>
      <w:r>
        <w:rPr>
          <w:rFonts w:hint="eastAsia" w:ascii="NEU-BZ-S92" w:hAnsi="NEU-BZ-S92" w:eastAsia="仿宋" w:cs="仿宋"/>
          <w:b w:val="0"/>
          <w:bCs w:val="0"/>
          <w:color w:val="auto"/>
          <w:sz w:val="32"/>
          <w:szCs w:val="32"/>
          <w:lang w:val="en-US" w:eastAsia="zh-CN"/>
        </w:rPr>
        <w:t>本措施自印发之日起执行，有效期三年，项目达产时间可顺延三年。本措施在有效期内如遇法律、法规或有关政策调整变化的，从其规定。</w:t>
      </w:r>
    </w:p>
    <w:sectPr>
      <w:footerReference r:id="rId3" w:type="default"/>
      <w:pgSz w:w="11906" w:h="16838"/>
      <w:pgMar w:top="2268" w:right="1474" w:bottom="1701"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NEU-BZ-S92">
    <w:altName w:val="宋体"/>
    <w:panose1 w:val="02020503000000020003"/>
    <w:charset w:val="86"/>
    <w:family w:val="auto"/>
    <w:pitch w:val="default"/>
    <w:sig w:usb0="00000000" w:usb1="00000000" w:usb2="05000016" w:usb3="00000000" w:csb0="003E0001" w:csb1="00000000"/>
  </w:font>
  <w:font w:name="方正小标宋简体">
    <w:altName w:val="Arial Unicode MS"/>
    <w:panose1 w:val="03000509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0" distR="0" simplePos="0" relativeHeight="102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2"/>
                            <w:rPr>
                              <w:rFonts w:hint="eastAsia" w:eastAsia="宋体"/>
                              <w:lang w:eastAsia="zh-CN"/>
                            </w:rPr>
                          </w:pPr>
                          <w:r>
                            <w:rPr>
                              <w:rFonts w:hint="eastAsia" w:ascii="NEU-BZ-S92" w:hAnsi="NEU-BZ-S92" w:eastAsia="NEU-BZ-S92" w:cs="NEU-BZ-S92"/>
                              <w:sz w:val="24"/>
                              <w:szCs w:val="24"/>
                              <w:lang w:eastAsia="zh-CN"/>
                            </w:rPr>
                            <w:fldChar w:fldCharType="begin"/>
                          </w:r>
                          <w:r>
                            <w:rPr>
                              <w:rFonts w:hint="eastAsia" w:ascii="NEU-BZ-S92" w:hAnsi="NEU-BZ-S92" w:eastAsia="NEU-BZ-S92" w:cs="NEU-BZ-S92"/>
                              <w:sz w:val="24"/>
                              <w:szCs w:val="24"/>
                              <w:lang w:eastAsia="zh-CN"/>
                            </w:rPr>
                            <w:instrText xml:space="preserve"> PAGE  \* MERGEFORMAT </w:instrText>
                          </w:r>
                          <w:r>
                            <w:rPr>
                              <w:rFonts w:hint="eastAsia" w:ascii="NEU-BZ-S92" w:hAnsi="NEU-BZ-S92" w:eastAsia="NEU-BZ-S92" w:cs="NEU-BZ-S92"/>
                              <w:sz w:val="24"/>
                              <w:szCs w:val="24"/>
                              <w:lang w:eastAsia="zh-CN"/>
                            </w:rPr>
                            <w:fldChar w:fldCharType="separate"/>
                          </w:r>
                          <w:r>
                            <w:rPr>
                              <w:rFonts w:hint="eastAsia" w:ascii="NEU-BZ-S92" w:hAnsi="NEU-BZ-S92" w:eastAsia="NEU-BZ-S92" w:cs="NEU-BZ-S92"/>
                              <w:sz w:val="24"/>
                              <w:szCs w:val="24"/>
                              <w:lang w:eastAsia="zh-CN"/>
                            </w:rPr>
                            <w:t>- 1 -</w:t>
                          </w:r>
                          <w:r>
                            <w:rPr>
                              <w:rFonts w:hint="eastAsia" w:ascii="NEU-BZ-S92" w:hAnsi="NEU-BZ-S92" w:eastAsia="NEU-BZ-S92" w:cs="NEU-BZ-S92"/>
                              <w:sz w:val="24"/>
                              <w:szCs w:val="24"/>
                              <w:lang w:eastAsia="zh-CN"/>
                            </w:rPr>
                            <w:fldChar w:fldCharType="end"/>
                          </w:r>
                        </w:p>
                      </w:txbxContent>
                    </wps:txbx>
                    <wps:bodyPr vert="horz" wrap="none" lIns="0" tIns="0" rIns="0" bIns="0" anchor="t" upright="0">
                      <a:spAutoFit/>
                    </wps:bodyPr>
                  </wps:wsp>
                </a:graphicData>
              </a:graphic>
            </wp:anchor>
          </w:drawing>
        </mc:Choice>
        <mc:Fallback>
          <w:pict>
            <v:rect id="文本框 1" o:spid="_x0000_s1026" o:spt="1" style="position:absolute;left:0pt;margin-top:0pt;height:144pt;width:144pt;mso-position-horizontal:center;mso-position-horizontal-relative:margin;mso-wrap-style:none;z-index:102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uXW5&#10;UtAAAAAFAQAADwAAAAAAAAABACAAAAAiAAAAZHJzL2Rvd25yZXYueG1sUEsBAhQAFAAAAAgAh07i&#10;QAR+Hmm4AQAAUAMAAA4AAAAAAAAAAQAgAAAAHwEAAGRycy9lMm9Eb2MueG1sUEsFBgAAAAAGAAYA&#10;WQEAAEkFAAAAAA==&#10;">
              <v:fill on="f" focussize="0,0"/>
              <v:stroke on="f"/>
              <v:imagedata o:title=""/>
              <o:lock v:ext="edit" aspectratio="f"/>
              <v:textbox inset="0mm,0mm,0mm,0mm" style="mso-fit-shape-to-text:t;">
                <w:txbxContent>
                  <w:p>
                    <w:pPr>
                      <w:pStyle w:val="2"/>
                      <w:rPr>
                        <w:rFonts w:hint="eastAsia" w:eastAsia="宋体"/>
                        <w:lang w:eastAsia="zh-CN"/>
                      </w:rPr>
                    </w:pPr>
                    <w:r>
                      <w:rPr>
                        <w:rFonts w:hint="eastAsia" w:ascii="NEU-BZ-S92" w:hAnsi="NEU-BZ-S92" w:eastAsia="NEU-BZ-S92" w:cs="NEU-BZ-S92"/>
                        <w:sz w:val="24"/>
                        <w:szCs w:val="24"/>
                        <w:lang w:eastAsia="zh-CN"/>
                      </w:rPr>
                      <w:fldChar w:fldCharType="begin"/>
                    </w:r>
                    <w:r>
                      <w:rPr>
                        <w:rFonts w:hint="eastAsia" w:ascii="NEU-BZ-S92" w:hAnsi="NEU-BZ-S92" w:eastAsia="NEU-BZ-S92" w:cs="NEU-BZ-S92"/>
                        <w:sz w:val="24"/>
                        <w:szCs w:val="24"/>
                        <w:lang w:eastAsia="zh-CN"/>
                      </w:rPr>
                      <w:instrText xml:space="preserve"> PAGE  \* MERGEFORMAT </w:instrText>
                    </w:r>
                    <w:r>
                      <w:rPr>
                        <w:rFonts w:hint="eastAsia" w:ascii="NEU-BZ-S92" w:hAnsi="NEU-BZ-S92" w:eastAsia="NEU-BZ-S92" w:cs="NEU-BZ-S92"/>
                        <w:sz w:val="24"/>
                        <w:szCs w:val="24"/>
                        <w:lang w:eastAsia="zh-CN"/>
                      </w:rPr>
                      <w:fldChar w:fldCharType="separate"/>
                    </w:r>
                    <w:r>
                      <w:rPr>
                        <w:rFonts w:hint="eastAsia" w:ascii="NEU-BZ-S92" w:hAnsi="NEU-BZ-S92" w:eastAsia="NEU-BZ-S92" w:cs="NEU-BZ-S92"/>
                        <w:sz w:val="24"/>
                        <w:szCs w:val="24"/>
                        <w:lang w:eastAsia="zh-CN"/>
                      </w:rPr>
                      <w:t>- 1 -</w:t>
                    </w:r>
                    <w:r>
                      <w:rPr>
                        <w:rFonts w:hint="eastAsia" w:ascii="NEU-BZ-S92" w:hAnsi="NEU-BZ-S92" w:eastAsia="NEU-BZ-S92" w:cs="NEU-BZ-S92"/>
                        <w:sz w:val="24"/>
                        <w:szCs w:val="24"/>
                        <w:lang w:eastAsia="zh-CN"/>
                      </w:rPr>
                      <w:fldChar w:fldCharType="end"/>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singleLevel"/>
    <w:tmpl w:val="00000000"/>
    <w:lvl w:ilvl="0" w:tentative="0">
      <w:start w:val="1"/>
      <w:numFmt w:val="chineseCounting"/>
      <w:suff w:val="nothing"/>
      <w:lvlText w:val="（%1）"/>
      <w:lvlJc w:val="left"/>
      <w:rPr>
        <w:rFonts w:hint="eastAsia"/>
      </w:rPr>
    </w:lvl>
  </w:abstractNum>
  <w:abstractNum w:abstractNumId="1">
    <w:nsid w:val="00000001"/>
    <w:multiLevelType w:val="singleLevel"/>
    <w:tmpl w:val="00000001"/>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9809D7"/>
    <w:rsid w:val="06534BA4"/>
    <w:rsid w:val="0D9D2AC7"/>
    <w:rsid w:val="10AE69F4"/>
    <w:rsid w:val="32212CDD"/>
    <w:rsid w:val="3A4350CD"/>
    <w:rsid w:val="40080505"/>
    <w:rsid w:val="674D1D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4"/>
      <w:lang w:val="en-US" w:eastAsia="zh-CN" w:bidi="ar-SA"/>
    </w:rPr>
  </w:style>
  <w:style w:type="character" w:default="1" w:styleId="5">
    <w:name w:val="Default Paragraph Font"/>
    <w:qFormat/>
    <w:uiPriority w:val="0"/>
  </w:style>
  <w:style w:type="table" w:default="1" w:styleId="6">
    <w:name w:val="Normal Table"/>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3773</Words>
  <Characters>3933</Characters>
  <Paragraphs>42</Paragraphs>
  <TotalTime>282</TotalTime>
  <ScaleCrop>false</ScaleCrop>
  <LinksUpToDate>false</LinksUpToDate>
  <CharactersWithSpaces>3949</CharactersWithSpaces>
  <Application>WPS Office_11.1.0.7720_F1E327BC-269C-435d-A152-05C5408002CA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2023-03-31T03:50:00Z</dcterms:created>
  <dc:creator>admin</dc:creator>
  <cp:lastModifiedBy>pn53</cp:lastModifiedBy>
  <cp:lastPrinted>2023-04-03T01:49:00Z</cp:lastPrinted>
  <dcterms:modified xsi:type="dcterms:W3CDTF">2023-04-03T07:15:09Z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2052-11.1.0.7720</vt:lpwstr>
  </property>
  <property fmtid="{D5CDD505-2E9C-101B-9397-08002B2CF9AE}" pid="3" name="ICV">
    <vt:lpwstr>598C4D60CBCB447096661D8858E6EE0F</vt:lpwstr>
  </property>
</Properties>
</file>