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52"/>
          <w:szCs w:val="52"/>
          <w:lang w:eastAsia="zh-CN"/>
        </w:rPr>
      </w:pP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普宁流沙西装修</w:t>
      </w:r>
      <w:r>
        <w:rPr>
          <w:rFonts w:hint="eastAsia" w:ascii="方正小标宋简体" w:hAnsi="方正小标宋简体" w:eastAsia="方正小标宋简体" w:cs="方正小标宋简体"/>
          <w:sz w:val="44"/>
          <w:szCs w:val="44"/>
          <w:lang w:eastAsia="zh-CN"/>
        </w:rPr>
        <w:t>作业“</w:t>
      </w:r>
      <w:r>
        <w:rPr>
          <w:rFonts w:hint="eastAsia" w:ascii="方正小标宋简体" w:hAnsi="方正小标宋简体" w:eastAsia="方正小标宋简体" w:cs="方正小标宋简体"/>
          <w:sz w:val="44"/>
          <w:szCs w:val="44"/>
          <w:lang w:val="en-US" w:eastAsia="zh-CN"/>
        </w:rPr>
        <w:t>7·14</w:t>
      </w:r>
      <w:r>
        <w:rPr>
          <w:rFonts w:hint="eastAsia" w:ascii="方正小标宋简体" w:hAnsi="方正小标宋简体" w:eastAsia="方正小标宋简体" w:cs="方正小标宋简体"/>
          <w:sz w:val="44"/>
          <w:szCs w:val="44"/>
          <w:lang w:eastAsia="zh-CN"/>
        </w:rPr>
        <w:t>”</w:t>
      </w:r>
      <w:bookmarkStart w:id="0" w:name="_Toc8745"/>
      <w:bookmarkStart w:id="1" w:name="_Toc28345"/>
      <w:bookmarkStart w:id="2" w:name="_Toc11497"/>
      <w:bookmarkStart w:id="3" w:name="_Toc26939"/>
      <w:r>
        <w:rPr>
          <w:rFonts w:hint="eastAsia" w:ascii="方正小标宋简体" w:hAnsi="方正小标宋简体" w:eastAsia="方正小标宋简体" w:cs="方正小标宋简体"/>
          <w:sz w:val="44"/>
          <w:szCs w:val="44"/>
          <w:lang w:eastAsia="zh-CN"/>
        </w:rPr>
        <w:t>一般</w:t>
      </w:r>
      <w:bookmarkStart w:id="4" w:name="_Toc21264"/>
      <w:bookmarkStart w:id="5" w:name="_Toc1646"/>
      <w:bookmarkStart w:id="6" w:name="_Toc21154"/>
      <w:bookmarkStart w:id="7" w:name="_Toc19040"/>
      <w:bookmarkStart w:id="8" w:name="_Toc17051"/>
      <w:bookmarkStart w:id="9" w:name="_Toc20783"/>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物体打击</w:t>
      </w:r>
      <w:r>
        <w:rPr>
          <w:rFonts w:hint="eastAsia" w:ascii="方正小标宋简体" w:hAnsi="方正小标宋简体" w:eastAsia="方正小标宋简体" w:cs="方正小标宋简体"/>
          <w:sz w:val="44"/>
          <w:szCs w:val="44"/>
          <w:lang w:eastAsia="zh-CN"/>
        </w:rPr>
        <w:t>事故调查报告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lang w:eastAsia="zh-CN"/>
        </w:rPr>
      </w:pPr>
    </w:p>
    <w:p>
      <w:pPr>
        <w:pStyle w:val="2"/>
        <w:jc w:val="center"/>
        <w:rPr>
          <w:rFonts w:hint="eastAsia" w:ascii="宋体" w:hAnsi="宋体" w:eastAsia="宋体" w:cs="宋体"/>
          <w:color w:val="auto"/>
          <w:sz w:val="44"/>
          <w:szCs w:val="44"/>
          <w:lang w:eastAsia="zh-CN"/>
        </w:rPr>
      </w:pPr>
    </w:p>
    <w:p>
      <w:pPr>
        <w:jc w:val="center"/>
        <w:rPr>
          <w:rFonts w:hint="eastAsia" w:ascii="宋体" w:hAnsi="宋体" w:eastAsia="宋体" w:cs="宋体"/>
          <w:color w:val="auto"/>
          <w:sz w:val="44"/>
          <w:szCs w:val="44"/>
          <w:lang w:eastAsia="zh-CN"/>
        </w:rPr>
      </w:pPr>
    </w:p>
    <w:p>
      <w:pPr>
        <w:pStyle w:val="2"/>
        <w:jc w:val="center"/>
        <w:rPr>
          <w:rFonts w:hint="eastAsia" w:ascii="宋体" w:hAnsi="宋体" w:eastAsia="宋体" w:cs="宋体"/>
          <w:color w:val="auto"/>
          <w:sz w:val="44"/>
          <w:szCs w:val="44"/>
          <w:lang w:eastAsia="zh-CN"/>
        </w:rPr>
      </w:pPr>
    </w:p>
    <w:p>
      <w:pPr>
        <w:jc w:val="center"/>
        <w:rPr>
          <w:rFonts w:hint="eastAsia" w:ascii="宋体" w:hAnsi="宋体" w:eastAsia="宋体" w:cs="宋体"/>
          <w:color w:val="auto"/>
          <w:sz w:val="44"/>
          <w:szCs w:val="44"/>
          <w:lang w:eastAsia="zh-CN"/>
        </w:rPr>
      </w:pPr>
    </w:p>
    <w:p>
      <w:pPr>
        <w:jc w:val="both"/>
        <w:rPr>
          <w:rFonts w:hint="eastAsia"/>
          <w:color w:val="auto"/>
          <w:lang w:eastAsia="zh-CN"/>
        </w:rPr>
      </w:pPr>
    </w:p>
    <w:p>
      <w:pPr>
        <w:pStyle w:val="2"/>
        <w:rPr>
          <w:rFonts w:hint="eastAsia"/>
          <w:color w:val="auto"/>
          <w:lang w:eastAsia="zh-CN"/>
        </w:rPr>
      </w:pPr>
    </w:p>
    <w:p>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普宁市人民政府事故调查组</w:t>
      </w:r>
    </w:p>
    <w:p>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2023年9月</w:t>
      </w:r>
    </w:p>
    <w:p>
      <w:pPr>
        <w:pStyle w:val="2"/>
        <w:rPr>
          <w:rFonts w:hint="eastAsia" w:ascii="方正小标宋简体" w:hAnsi="方正小标宋简体" w:eastAsia="方正小标宋简体" w:cs="方正小标宋简体"/>
          <w:color w:val="FF0000"/>
          <w:kern w:val="2"/>
          <w:sz w:val="32"/>
          <w:szCs w:val="32"/>
          <w:lang w:val="en-US" w:eastAsia="zh-CN" w:bidi="ar-SA"/>
        </w:rPr>
      </w:pPr>
    </w:p>
    <w:p>
      <w:pPr>
        <w:rPr>
          <w:rFonts w:hint="eastAsia"/>
          <w:color w:val="FF0000"/>
          <w:lang w:val="en-US" w:eastAsia="zh-CN"/>
        </w:rPr>
        <w:sectPr>
          <w:footnotePr>
            <w:numFmt w:val="decimal"/>
          </w:footnotePr>
          <w:pgSz w:w="11906" w:h="16838"/>
          <w:pgMar w:top="2098" w:right="1474" w:bottom="1984" w:left="1587" w:header="851" w:footer="992" w:gutter="0"/>
          <w:pgNumType w:fmt="numberInDash"/>
          <w:cols w:space="720" w:num="1"/>
          <w:docGrid w:type="lines" w:linePitch="312" w:charSpace="0"/>
        </w:sectPr>
      </w:pPr>
    </w:p>
    <w:p>
      <w:pPr>
        <w:outlineLvl w:val="9"/>
        <w:rPr>
          <w:rFonts w:hint="eastAsia" w:ascii="仿宋_GB2312" w:hAnsi="仿宋_GB2312" w:eastAsia="仿宋_GB2312" w:cs="仿宋_GB2312"/>
          <w:color w:val="auto"/>
          <w:sz w:val="32"/>
          <w:szCs w:val="32"/>
          <w:lang w:val="en-US" w:eastAsia="zh-CN"/>
        </w:rPr>
      </w:pPr>
    </w:p>
    <w:sdt>
      <w:sdtPr>
        <w:rPr>
          <w:rFonts w:hint="eastAsia" w:ascii="方正小标宋简体" w:hAnsi="方正小标宋简体" w:eastAsia="方正小标宋简体" w:cs="方正小标宋简体"/>
          <w:kern w:val="2"/>
          <w:sz w:val="44"/>
          <w:szCs w:val="44"/>
          <w:lang w:val="en-US" w:eastAsia="zh-CN" w:bidi="ar-SA"/>
        </w:rPr>
        <w:id w:val="147459866"/>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9"/>
            <w:tabs>
              <w:tab w:val="right" w:leader="dot" w:pos="8845"/>
            </w:tabs>
            <w:rPr>
              <w:rFonts w:hint="eastAsia" w:ascii="楷体_GB2312" w:hAnsi="楷体_GB2312" w:eastAsia="楷体_GB2312" w:cs="楷体_GB2312"/>
              <w:sz w:val="28"/>
              <w:szCs w:val="28"/>
            </w:rPr>
          </w:pPr>
        </w:p>
        <w:p>
          <w:pPr>
            <w:pStyle w:val="9"/>
            <w:tabs>
              <w:tab w:val="right" w:leader="dot" w:pos="8845"/>
            </w:tabs>
            <w:rPr>
              <w:rFonts w:hint="eastAsia" w:ascii="黑体" w:hAnsi="黑体" w:eastAsia="黑体" w:cs="黑体"/>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TOC \o "1-3" \h \u </w:instrText>
          </w:r>
          <w:r>
            <w:rPr>
              <w:rFonts w:hint="eastAsia" w:ascii="楷体_GB2312" w:hAnsi="楷体_GB2312" w:eastAsia="楷体_GB2312" w:cs="楷体_GB2312"/>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_Toc31000 </w:instrText>
          </w:r>
          <w:r>
            <w:rPr>
              <w:rFonts w:hint="eastAsia" w:ascii="黑体" w:hAnsi="黑体" w:eastAsia="黑体" w:cs="黑体"/>
              <w:sz w:val="28"/>
              <w:szCs w:val="28"/>
            </w:rPr>
            <w:fldChar w:fldCharType="separate"/>
          </w:r>
          <w:r>
            <w:rPr>
              <w:rFonts w:hint="eastAsia" w:ascii="黑体" w:hAnsi="黑体" w:eastAsia="黑体" w:cs="黑体"/>
              <w:sz w:val="28"/>
              <w:szCs w:val="28"/>
              <w:lang w:eastAsia="zh-CN"/>
            </w:rPr>
            <w:t>一、事故基本情况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_Toc31000 \h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_Toc18704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（一）涉事楼房情况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_Toc18704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- 1 -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_Toc11022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（二）施工作业情况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_Toc11022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- 2 -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9"/>
            <w:tabs>
              <w:tab w:val="right" w:leader="dot" w:pos="8845"/>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_Toc26772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二、事故应急处置及评估情况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_Toc26772 \h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_Toc14828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（一）应急救援情况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_Toc14828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- 3 -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_Toc19162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（二）事故信息接报及响应情况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_Toc19162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- 3 -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_Toc24865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（三）善后处置情况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_Toc24865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_Toc31561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（四）应急处置评估</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_Toc31561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_Toc11587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（五）人员伤亡和直接经济损失情况</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_Toc11587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9"/>
            <w:tabs>
              <w:tab w:val="right" w:leader="dot" w:pos="8845"/>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_Toc4014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三、事故原因分析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_Toc4014 \h </w:instrText>
          </w:r>
          <w:r>
            <w:rPr>
              <w:rFonts w:hint="eastAsia" w:ascii="黑体" w:hAnsi="黑体" w:eastAsia="黑体" w:cs="黑体"/>
              <w:sz w:val="28"/>
              <w:szCs w:val="28"/>
            </w:rPr>
            <w:fldChar w:fldCharType="separate"/>
          </w:r>
          <w:r>
            <w:rPr>
              <w:rFonts w:hint="eastAsia" w:ascii="黑体" w:hAnsi="黑体" w:eastAsia="黑体" w:cs="黑体"/>
              <w:sz w:val="28"/>
              <w:szCs w:val="28"/>
            </w:rPr>
            <w:t>- 4 -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_Toc21079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（一）直接原因分析</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_Toc21079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- 4 -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_Toc5076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（二）间接原因分析</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_Toc5076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- 5 -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9"/>
            <w:tabs>
              <w:tab w:val="right" w:leader="dot" w:pos="8845"/>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_Toc7525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四、有关单位存在的主要问题</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_Toc7525 \h </w:instrText>
          </w:r>
          <w:r>
            <w:rPr>
              <w:rFonts w:hint="eastAsia" w:ascii="黑体" w:hAnsi="黑体" w:eastAsia="黑体" w:cs="黑体"/>
              <w:sz w:val="28"/>
              <w:szCs w:val="28"/>
            </w:rPr>
            <w:fldChar w:fldCharType="separate"/>
          </w:r>
          <w:r>
            <w:rPr>
              <w:rFonts w:hint="eastAsia" w:ascii="黑体" w:hAnsi="黑体" w:eastAsia="黑体" w:cs="黑体"/>
              <w:sz w:val="28"/>
              <w:szCs w:val="28"/>
            </w:rPr>
            <w:t>- 5 -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_Toc5961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（一）流沙西街道赵厝寮村村民委员会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_Toc5961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- 5 -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_Toc9160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（二）流沙西街道办事处</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_Toc9160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- 5 -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9"/>
            <w:tabs>
              <w:tab w:val="right" w:leader="dot" w:pos="8845"/>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_Toc5623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五、对有关人员和单位的处理建议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_Toc5623 \h </w:instrText>
          </w:r>
          <w:r>
            <w:rPr>
              <w:rFonts w:hint="eastAsia" w:ascii="黑体" w:hAnsi="黑体" w:eastAsia="黑体" w:cs="黑体"/>
              <w:sz w:val="28"/>
              <w:szCs w:val="28"/>
            </w:rPr>
            <w:fldChar w:fldCharType="separate"/>
          </w:r>
          <w:r>
            <w:rPr>
              <w:rFonts w:hint="eastAsia" w:ascii="黑体" w:hAnsi="黑体" w:eastAsia="黑体" w:cs="黑体"/>
              <w:sz w:val="28"/>
              <w:szCs w:val="28"/>
            </w:rPr>
            <w:t>- 5 -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_Toc9686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（一）建议免予追究责任的人员</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_Toc9686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- 5 -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_Toc31402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（二）已被司法机关采取强制措施人员</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_Toc31402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- 5 -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_Toc1993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（三）对公职人员的处理建议</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_Toc1993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- 6 -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_Toc13002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（四）其他处理建议</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_Toc13002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- 7 -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9"/>
            <w:tabs>
              <w:tab w:val="right" w:leader="dot" w:pos="8845"/>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_Toc6943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六、事故整改和防范措施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_Toc6943 \h </w:instrText>
          </w:r>
          <w:r>
            <w:rPr>
              <w:rFonts w:hint="eastAsia" w:ascii="黑体" w:hAnsi="黑体" w:eastAsia="黑体" w:cs="黑体"/>
              <w:sz w:val="28"/>
              <w:szCs w:val="28"/>
            </w:rPr>
            <w:fldChar w:fldCharType="separate"/>
          </w:r>
          <w:r>
            <w:rPr>
              <w:rFonts w:hint="eastAsia" w:ascii="黑体" w:hAnsi="黑体" w:eastAsia="黑体" w:cs="黑体"/>
              <w:sz w:val="28"/>
              <w:szCs w:val="28"/>
            </w:rPr>
            <w:t>- 7 -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_Toc17606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（一）加大巡查检查力度</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_Toc17606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- 7 -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_Toc968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（二）落实安全主体责任</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_Toc968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- 7 -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1"/>
            <w:tabs>
              <w:tab w:val="right" w:leader="dot" w:pos="8845"/>
            </w:tabs>
            <w:rPr>
              <w:rFonts w:hint="eastAsia"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NumType w:fmt="numberInDash" w:start="1"/>
              <w:cols w:space="0" w:num="1"/>
              <w:rtlGutter w:val="0"/>
              <w:docGrid w:type="lines" w:linePitch="455" w:charSpace="0"/>
            </w:sect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_Toc9997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en-US" w:eastAsia="zh-CN"/>
            </w:rPr>
            <w:t>（三）深入开展整治行动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_Toc9997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- 8 -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2023年7月14日8时许，流沙西街道赵厝寮村发生一工人在一民楼内拆除简易升降机外围铁皮的过程中，被坠落的简易升降机平台砸中致死的事故。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流沙西装修作业“7·14”一般物体打击事故调查组（普府办函〔2023〕55号），调查组由市委常委、常务副市长吴邓文任组长，市政府办公室副主任张秋城、市应急管理局局长陈家国任副组长，成员从市公安局、应急管理局、住房城乡建设局、市场监管局、总工会等单位和流沙西街道办事处等单位组成。同时，邀请市纪委监委介入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经调查认定，普宁流沙西装修作业“7·14”一般物体打击事故是一起生产安全责任事故。</w:t>
      </w:r>
      <w:bookmarkStart w:id="10" w:name="_Toc8976"/>
      <w:bookmarkStart w:id="11" w:name="_Toc10264"/>
      <w:bookmarkStart w:id="12" w:name="_Toc18791"/>
      <w:bookmarkStart w:id="13" w:name="_Toc6275"/>
      <w:bookmarkStart w:id="14" w:name="_Toc4701"/>
      <w:bookmarkStart w:id="15" w:name="_Toc13522"/>
      <w:bookmarkStart w:id="16" w:name="_Toc9885"/>
      <w:bookmarkStart w:id="17" w:name="_Toc13262"/>
      <w:bookmarkStart w:id="18" w:name="_Toc5082"/>
      <w:bookmarkStart w:id="19" w:name="_Toc12177"/>
    </w:p>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eastAsia="zh-CN"/>
        </w:rPr>
      </w:pPr>
      <w:bookmarkStart w:id="20" w:name="_Toc27240"/>
      <w:bookmarkStart w:id="21" w:name="_Toc31000"/>
      <w:bookmarkStart w:id="22" w:name="_Toc16790"/>
      <w:bookmarkStart w:id="23" w:name="_Toc4487"/>
      <w:bookmarkStart w:id="24" w:name="_Toc21006"/>
      <w:r>
        <w:rPr>
          <w:rFonts w:hint="eastAsia"/>
          <w:sz w:val="32"/>
          <w:szCs w:val="32"/>
          <w:lang w:eastAsia="zh-CN"/>
        </w:rPr>
        <w:t>一、事故基本情况</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5" w:name="_Toc27022"/>
      <w:bookmarkStart w:id="26" w:name="_Toc18704"/>
      <w:bookmarkStart w:id="27" w:name="_Toc18499"/>
      <w:bookmarkStart w:id="28" w:name="_Toc20606"/>
      <w:bookmarkStart w:id="29" w:name="_Toc5457"/>
      <w:bookmarkStart w:id="30" w:name="_Toc27391"/>
      <w:bookmarkStart w:id="31" w:name="_Toc17987"/>
      <w:bookmarkStart w:id="32" w:name="_Toc12160"/>
      <w:bookmarkStart w:id="33" w:name="_Toc14804"/>
      <w:bookmarkStart w:id="34" w:name="_Toc29855"/>
      <w:bookmarkStart w:id="35" w:name="_Toc29445"/>
      <w:bookmarkStart w:id="36" w:name="_Toc6107"/>
      <w:bookmarkStart w:id="37" w:name="_Toc28878"/>
      <w:bookmarkStart w:id="38" w:name="_Toc26295"/>
      <w:bookmarkStart w:id="39" w:name="_Toc3901"/>
      <w:r>
        <w:rPr>
          <w:rFonts w:hint="eastAsia"/>
          <w:sz w:val="32"/>
          <w:szCs w:val="32"/>
          <w:lang w:val="en-US" w:eastAsia="zh-CN"/>
        </w:rPr>
        <w:t>（一）涉事楼房情况</w:t>
      </w:r>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40" w:name="_Toc26518"/>
      <w:bookmarkStart w:id="41" w:name="_Toc30354"/>
      <w:bookmarkStart w:id="42" w:name="_Toc18117"/>
      <w:r>
        <w:rPr>
          <w:rFonts w:hint="eastAsia" w:ascii="仿宋_GB2312" w:hAnsi="仿宋_GB2312" w:eastAsia="仿宋_GB2312" w:cs="仿宋_GB2312"/>
          <w:sz w:val="32"/>
          <w:szCs w:val="32"/>
          <w:lang w:val="en-US" w:eastAsia="zh-CN"/>
        </w:rPr>
        <w:t>涉事楼房位于普宁市流沙西街道赵厝寮村培英园谷仓顶2幢。培英园谷仓顶2幢一楼东南角有一个房间，房</w:t>
      </w:r>
      <w:r>
        <w:rPr>
          <w:rFonts w:hint="eastAsia" w:ascii="仿宋_GB2312" w:hAnsi="仿宋_GB2312" w:eastAsia="仿宋_GB2312" w:cs="仿宋_GB2312"/>
          <w:color w:val="auto"/>
          <w:sz w:val="32"/>
          <w:szCs w:val="32"/>
          <w:lang w:val="en-US" w:eastAsia="zh-CN"/>
        </w:rPr>
        <w:t>间南侧是升降机，房间内靠北墙有一条梯子和两台机器（其中东侧机器上有一个头盔和一部手机），房间南侧升降机停在一楼和二楼中间，升降机底部北侧铁条变形，升降机底部地面有四个轮胎和一把小榔头，其中有一个轮胎变形，小榔头凹陷变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涉事民楼主体结构于1996年建设完成，涉事升降机于2000年左右搭建完成。</w:t>
      </w:r>
      <w:bookmarkEnd w:id="40"/>
      <w:bookmarkEnd w:id="41"/>
      <w:bookmarkEnd w:id="42"/>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43" w:name="_Toc1714"/>
      <w:bookmarkStart w:id="44" w:name="_Toc2532"/>
      <w:bookmarkStart w:id="45" w:name="_Toc14302"/>
      <w:bookmarkStart w:id="46" w:name="_Toc27155"/>
      <w:bookmarkStart w:id="47" w:name="_Toc11022"/>
      <w:bookmarkStart w:id="48" w:name="_Toc4908"/>
      <w:r>
        <w:rPr>
          <w:rFonts w:hint="eastAsia"/>
          <w:sz w:val="32"/>
          <w:szCs w:val="32"/>
          <w:lang w:val="en-US" w:eastAsia="zh-CN"/>
        </w:rPr>
        <w:t>（二）施工作业情况</w:t>
      </w:r>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2023年6月底，余俊三</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0"/>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通过中介的介绍，向李玉芳</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1"/>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承租位于流沙西街道赵厝寮村培英园谷仓顶2幢（共六层）用于开办工厂，该幢楼房原来有安装一部简易升降机。由于升降机外围铁皮破旧。7月11日，余俊三通过其员工的丈夫介绍认识，雇佣熊祖登</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2"/>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对升降机外围铁皮进行翻新，工资以400元/天结算，双方约定于2023年7月14日开始施工。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Arial" w:hAnsi="Arial" w:eastAsia="楷体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余俊三和熊祖登达成作业承接意向，未签订书面合同和约定各自的安全生产管理职责</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3"/>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eastAsia" w:ascii="Arial" w:hAnsi="Arial" w:eastAsia="楷体_GB2312" w:cs="Times New Roman"/>
          <w:kern w:val="2"/>
          <w:sz w:val="32"/>
          <w:szCs w:val="32"/>
          <w:lang w:val="en-US" w:eastAsia="zh-CN" w:bidi="ar-SA"/>
        </w:rPr>
        <w:t xml:space="preserve">    </w:t>
      </w:r>
      <w:bookmarkStart w:id="49" w:name="_Toc8607"/>
      <w:bookmarkStart w:id="50" w:name="_Toc3597"/>
      <w:bookmarkStart w:id="51" w:name="_Toc19846"/>
      <w:bookmarkStart w:id="52" w:name="_Toc12307"/>
      <w:r>
        <w:rPr>
          <w:rFonts w:hint="eastAsia" w:ascii="Arial" w:hAnsi="Arial" w:eastAsia="楷体_GB2312" w:cs="Times New Roman"/>
          <w:kern w:val="2"/>
          <w:sz w:val="32"/>
          <w:szCs w:val="32"/>
          <w:lang w:val="en-US" w:eastAsia="zh-CN" w:bidi="ar-SA"/>
        </w:rPr>
        <w:t>（三）事故发生经过</w:t>
      </w:r>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14日7时许，熊祖登拿着工具到现场进行简易升降机外围的铁皮拆除作业前的准备工作。8时许，余俊三到现场巡查施工情况。此时，升降机停在三楼。熊祖登拿着一把铁锤进入升降机一层框架内，站在简易升降机的正下方，使用电焊机把升降机外围铁皮上的螺丝钉拆掉，随即用铁锤敲打升降机的外围铁皮，敲打了两三下，升降机突然发生坠落，砸中正在作业的熊祖登，熊祖登倒地不起。</w:t>
      </w:r>
    </w:p>
    <w:bookmarkEnd w:id="35"/>
    <w:bookmarkEnd w:id="36"/>
    <w:bookmarkEnd w:id="37"/>
    <w:bookmarkEnd w:id="38"/>
    <w:bookmarkEnd w:id="39"/>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color w:val="auto"/>
          <w:sz w:val="32"/>
          <w:szCs w:val="32"/>
          <w:lang w:val="en-US" w:eastAsia="zh-CN"/>
        </w:rPr>
      </w:pPr>
      <w:bookmarkStart w:id="53" w:name="_Toc10297"/>
      <w:bookmarkStart w:id="54" w:name="_Toc1291"/>
      <w:bookmarkStart w:id="55" w:name="_Toc9613"/>
      <w:bookmarkStart w:id="56" w:name="_Toc31934"/>
      <w:bookmarkStart w:id="57" w:name="_Toc26417"/>
      <w:bookmarkStart w:id="58" w:name="_Toc1462"/>
      <w:bookmarkStart w:id="59" w:name="_Toc26673"/>
      <w:bookmarkStart w:id="60" w:name="_Toc20714"/>
      <w:bookmarkStart w:id="61" w:name="_Toc21495"/>
      <w:bookmarkStart w:id="62" w:name="_Toc29980"/>
      <w:bookmarkStart w:id="63" w:name="_Toc7864"/>
      <w:bookmarkStart w:id="64" w:name="_Toc11165"/>
      <w:bookmarkStart w:id="65" w:name="_Toc21772"/>
      <w:bookmarkStart w:id="66" w:name="_Toc26772"/>
      <w:bookmarkStart w:id="67" w:name="_Toc19423"/>
      <w:r>
        <w:rPr>
          <w:rFonts w:hint="eastAsia"/>
          <w:color w:val="auto"/>
          <w:sz w:val="32"/>
          <w:szCs w:val="32"/>
          <w:lang w:val="en-US" w:eastAsia="zh-CN"/>
        </w:rPr>
        <w:t>二、</w:t>
      </w:r>
      <w:bookmarkEnd w:id="53"/>
      <w:bookmarkEnd w:id="54"/>
      <w:bookmarkEnd w:id="55"/>
      <w:bookmarkEnd w:id="56"/>
      <w:bookmarkEnd w:id="57"/>
      <w:r>
        <w:rPr>
          <w:rFonts w:hint="eastAsia"/>
          <w:color w:val="auto"/>
          <w:sz w:val="32"/>
          <w:szCs w:val="32"/>
          <w:lang w:val="en-US" w:eastAsia="zh-CN"/>
        </w:rPr>
        <w:t>事故应急处置及评估情况</w:t>
      </w:r>
      <w:bookmarkEnd w:id="58"/>
      <w:bookmarkEnd w:id="59"/>
      <w:bookmarkEnd w:id="60"/>
      <w:bookmarkEnd w:id="61"/>
      <w:bookmarkEnd w:id="62"/>
      <w:bookmarkEnd w:id="63"/>
      <w:bookmarkEnd w:id="64"/>
      <w:bookmarkEnd w:id="65"/>
      <w:bookmarkEnd w:id="66"/>
      <w:bookmarkEnd w:id="67"/>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color w:val="auto"/>
          <w:sz w:val="32"/>
          <w:szCs w:val="32"/>
          <w:lang w:val="en-US" w:eastAsia="zh-CN"/>
        </w:rPr>
      </w:pPr>
      <w:bookmarkStart w:id="68" w:name="_Toc27701"/>
      <w:bookmarkStart w:id="69" w:name="_Toc8255"/>
      <w:bookmarkStart w:id="70" w:name="_Toc8541"/>
      <w:bookmarkStart w:id="71" w:name="_Toc30320"/>
      <w:bookmarkStart w:id="72" w:name="_Toc22050"/>
      <w:bookmarkStart w:id="73" w:name="_Toc1690"/>
      <w:bookmarkStart w:id="74" w:name="_Toc14486"/>
      <w:bookmarkStart w:id="75" w:name="_Toc6151"/>
      <w:bookmarkStart w:id="76" w:name="_Toc30571"/>
      <w:bookmarkStart w:id="77" w:name="_Toc14828"/>
      <w:bookmarkStart w:id="78" w:name="_Toc31302"/>
      <w:bookmarkStart w:id="79" w:name="_Toc18964"/>
      <w:bookmarkStart w:id="80" w:name="_Toc8952"/>
      <w:bookmarkStart w:id="81" w:name="_Toc2120"/>
      <w:bookmarkStart w:id="82" w:name="_Toc28691"/>
      <w:r>
        <w:rPr>
          <w:rFonts w:hint="eastAsia"/>
          <w:color w:val="auto"/>
          <w:sz w:val="32"/>
          <w:szCs w:val="32"/>
          <w:lang w:val="en-US" w:eastAsia="zh-CN"/>
        </w:rPr>
        <w:t>（一）应急救援情况</w:t>
      </w:r>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83" w:name="_Toc14560"/>
      <w:bookmarkStart w:id="84" w:name="_Toc29455"/>
      <w:bookmarkStart w:id="85" w:name="_Toc222"/>
      <w:r>
        <w:rPr>
          <w:rFonts w:hint="eastAsia" w:ascii="仿宋_GB2312" w:hAnsi="仿宋_GB2312" w:eastAsia="仿宋_GB2312" w:cs="仿宋_GB2312"/>
          <w:color w:val="auto"/>
          <w:sz w:val="32"/>
          <w:szCs w:val="32"/>
          <w:lang w:val="en-US" w:eastAsia="zh-CN"/>
        </w:rPr>
        <w:t>余俊三看到熊祖登被砸中，立即拨打119消防电话和120急救电话，并尝试按升降机的升降按钮，此时升降机往上升至二楼。大概过了5分钟，消防队员到达现场附近，余俊三走到路边将消防队员带到现场。消防队员到达之后，将熊祖登从升降机底部转移到房间内部。大约5分钟后，120急救车也赶到现场。熊祖登经现场抢救无效死亡。</w:t>
      </w:r>
    </w:p>
    <w:bookmarkEnd w:id="83"/>
    <w:bookmarkEnd w:id="84"/>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86" w:name="_Toc12979"/>
      <w:bookmarkStart w:id="87" w:name="_Toc15574"/>
      <w:bookmarkStart w:id="88" w:name="_Toc25004"/>
      <w:bookmarkStart w:id="89" w:name="_Toc5617"/>
      <w:bookmarkStart w:id="90" w:name="_Toc19162"/>
      <w:bookmarkStart w:id="91" w:name="_Toc503"/>
      <w:bookmarkStart w:id="92" w:name="_Toc336"/>
      <w:r>
        <w:rPr>
          <w:rFonts w:hint="eastAsia"/>
          <w:sz w:val="32"/>
          <w:szCs w:val="32"/>
          <w:lang w:val="en-US" w:eastAsia="zh-CN"/>
        </w:rPr>
        <w:t>（二）事故信息接报及响应情况</w:t>
      </w:r>
      <w:bookmarkEnd w:id="86"/>
      <w:bookmarkEnd w:id="87"/>
      <w:bookmarkEnd w:id="88"/>
      <w:bookmarkEnd w:id="89"/>
      <w:bookmarkEnd w:id="90"/>
      <w:bookmarkEnd w:id="91"/>
      <w:bookmarkEnd w:id="92"/>
    </w:p>
    <w:bookmarkEnd w:id="85"/>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93" w:name="_Toc26077"/>
      <w:bookmarkStart w:id="94" w:name="_Toc4536"/>
      <w:bookmarkStart w:id="95" w:name="_Toc1924"/>
      <w:r>
        <w:rPr>
          <w:rFonts w:hint="eastAsia" w:ascii="仿宋_GB2312" w:hAnsi="仿宋_GB2312" w:eastAsia="仿宋_GB2312" w:cs="仿宋_GB2312"/>
          <w:sz w:val="32"/>
          <w:szCs w:val="32"/>
          <w:lang w:val="en-US" w:eastAsia="zh-CN"/>
        </w:rPr>
        <w:t>2023年7月14日8时36分，城西派出所接市公安局110指挥中心指令，迅速组织警力到场处置；15时48分，流沙西街道办事处将事故上报普宁市应急管理局；15时54分，普宁市应急管理局分别将情况报告揭阳市应急管理局以及普宁市委值班室、市政府值班室。</w:t>
      </w:r>
      <w:bookmarkEnd w:id="93"/>
      <w:bookmarkEnd w:id="94"/>
      <w:bookmarkEnd w:id="95"/>
      <w:bookmarkStart w:id="96" w:name="_Toc31857"/>
      <w:bookmarkStart w:id="97" w:name="_Toc30519"/>
    </w:p>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sz w:val="32"/>
          <w:szCs w:val="32"/>
          <w:lang w:val="en-US" w:eastAsia="zh-CN"/>
        </w:rPr>
      </w:pPr>
      <w:bookmarkStart w:id="98" w:name="_Toc31113"/>
      <w:bookmarkStart w:id="99" w:name="_Toc28869"/>
      <w:bookmarkStart w:id="100" w:name="_Toc24865"/>
      <w:bookmarkStart w:id="101" w:name="_Toc3537"/>
      <w:bookmarkStart w:id="102" w:name="_Toc32516"/>
      <w:bookmarkStart w:id="103" w:name="_Toc4080"/>
      <w:bookmarkStart w:id="104" w:name="_Toc26871"/>
      <w:r>
        <w:rPr>
          <w:rFonts w:hint="eastAsia"/>
          <w:sz w:val="32"/>
          <w:szCs w:val="32"/>
          <w:lang w:val="en-US" w:eastAsia="zh-CN"/>
        </w:rPr>
        <w:t>（三）善后处置情况</w:t>
      </w:r>
      <w:bookmarkEnd w:id="96"/>
      <w:bookmarkEnd w:id="97"/>
      <w:bookmarkEnd w:id="98"/>
      <w:bookmarkEnd w:id="99"/>
      <w:bookmarkEnd w:id="100"/>
      <w:bookmarkEnd w:id="101"/>
      <w:bookmarkEnd w:id="102"/>
      <w:bookmarkEnd w:id="103"/>
      <w:bookmarkEnd w:id="104"/>
      <w:bookmarkStart w:id="105" w:name="_Toc15311"/>
      <w:bookmarkStart w:id="106" w:name="_Toc21150"/>
      <w:bookmarkStart w:id="107" w:name="_Toc216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事故发生后，流沙西街道、赵厝寮村干部积极协调善后事宜，对死者家属进行安抚。2023年7月17日，双方就熊祖登善后赔偿事宜已协商一致，并签订赔偿和谅解协议。</w:t>
      </w:r>
    </w:p>
    <w:bookmarkEnd w:id="105"/>
    <w:bookmarkEnd w:id="106"/>
    <w:bookmarkEnd w:id="107"/>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sz w:val="32"/>
          <w:szCs w:val="32"/>
          <w:lang w:val="en-US" w:eastAsia="zh-CN"/>
        </w:rPr>
      </w:pPr>
      <w:bookmarkStart w:id="108" w:name="_Toc20869"/>
      <w:bookmarkStart w:id="109" w:name="_Toc1019"/>
      <w:bookmarkStart w:id="110" w:name="_Toc30774"/>
      <w:bookmarkStart w:id="111" w:name="_Toc31804"/>
      <w:bookmarkStart w:id="112" w:name="_Toc25727"/>
      <w:bookmarkStart w:id="113" w:name="_Toc8497"/>
      <w:bookmarkStart w:id="114" w:name="_Toc31561"/>
      <w:bookmarkStart w:id="115" w:name="_Toc23631"/>
      <w:bookmarkStart w:id="116" w:name="_Toc30976"/>
      <w:bookmarkStart w:id="117" w:name="_Toc11581"/>
      <w:r>
        <w:rPr>
          <w:rFonts w:hint="eastAsia"/>
          <w:sz w:val="32"/>
          <w:szCs w:val="32"/>
          <w:lang w:val="en-US" w:eastAsia="zh-CN"/>
        </w:rPr>
        <w:t>（四）应急处置评估</w:t>
      </w:r>
      <w:bookmarkEnd w:id="108"/>
      <w:bookmarkEnd w:id="109"/>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118" w:name="_Toc19658"/>
      <w:bookmarkStart w:id="119" w:name="_Toc10734"/>
      <w:r>
        <w:rPr>
          <w:rFonts w:hint="eastAsia" w:ascii="仿宋_GB2312" w:hAnsi="仿宋_GB2312" w:eastAsia="仿宋_GB2312" w:cs="仿宋_GB2312"/>
          <w:sz w:val="32"/>
          <w:szCs w:val="32"/>
          <w:lang w:val="en-US" w:eastAsia="zh-CN"/>
        </w:rPr>
        <w:t>余俊三积极开展现场救援，积极与死者家属协商善后赔偿事宜。流沙西街道办事处、公安等部门高度重视，认真做好事故应急救援和善后处置等工作，整个事故应急处置过程未发生次生、衍生事件，舆情和社会面平稳。</w:t>
      </w:r>
    </w:p>
    <w:bookmarkEnd w:id="118"/>
    <w:bookmarkEnd w:id="119"/>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sz w:val="32"/>
          <w:szCs w:val="32"/>
          <w:lang w:val="en-US" w:eastAsia="zh-CN"/>
        </w:rPr>
      </w:pPr>
      <w:bookmarkStart w:id="120" w:name="_Toc12248"/>
      <w:bookmarkStart w:id="121" w:name="_Toc9273"/>
      <w:bookmarkStart w:id="122" w:name="_Toc11249"/>
      <w:bookmarkStart w:id="123" w:name="_Toc11587"/>
      <w:bookmarkStart w:id="124" w:name="_Toc15635"/>
      <w:bookmarkStart w:id="125" w:name="_Toc15348"/>
      <w:bookmarkStart w:id="126" w:name="_Toc21290"/>
      <w:bookmarkStart w:id="127" w:name="_Toc19025"/>
      <w:bookmarkStart w:id="128" w:name="_Toc18686"/>
      <w:r>
        <w:rPr>
          <w:rFonts w:hint="eastAsia"/>
          <w:sz w:val="32"/>
          <w:szCs w:val="32"/>
          <w:lang w:val="en-US" w:eastAsia="zh-CN"/>
        </w:rPr>
        <w:t>（五）人员伤亡和直接经济损失情况</w:t>
      </w:r>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129" w:name="_Toc1773"/>
      <w:bookmarkStart w:id="130" w:name="_Toc1487"/>
      <w:r>
        <w:rPr>
          <w:rFonts w:hint="eastAsia" w:ascii="仿宋_GB2312" w:hAnsi="仿宋_GB2312" w:eastAsia="仿宋_GB2312" w:cs="仿宋_GB2312"/>
          <w:sz w:val="32"/>
          <w:szCs w:val="32"/>
          <w:lang w:val="en-US" w:eastAsia="zh-CN"/>
        </w:rPr>
        <w:t>事故造成熊祖登1人死亡。广东省普宁市公安司法鉴定中心于2023年7月31日对熊祖登尸体进行死因鉴定，对熊祖登作出“熊祖登符合钝性物体作用致内脏破裂大出血死亡”的鉴定结论，并出具《鉴定书》（编号为：普公（司）鉴（法尸）字〔2023〕179号）</w:t>
      </w:r>
      <w:bookmarkEnd w:id="129"/>
      <w:bookmarkEnd w:id="130"/>
      <w:r>
        <w:rPr>
          <w:rFonts w:hint="eastAsia" w:ascii="仿宋_GB2312" w:hAnsi="仿宋_GB2312" w:eastAsia="仿宋_GB2312" w:cs="仿宋_GB2312"/>
          <w:sz w:val="32"/>
          <w:szCs w:val="32"/>
          <w:lang w:val="en-US" w:eastAsia="zh-CN"/>
        </w:rPr>
        <w:t>。直接经济损失89万元。</w:t>
      </w:r>
    </w:p>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31" w:name="_Toc7343"/>
      <w:bookmarkStart w:id="132" w:name="_Toc4014"/>
      <w:bookmarkStart w:id="133" w:name="_Toc24630"/>
      <w:bookmarkStart w:id="134" w:name="_Toc32289"/>
      <w:bookmarkStart w:id="135" w:name="_Toc31931"/>
      <w:bookmarkStart w:id="136" w:name="_Toc2467"/>
      <w:bookmarkStart w:id="137" w:name="_Toc14669"/>
      <w:bookmarkStart w:id="138" w:name="_Toc2803"/>
      <w:bookmarkStart w:id="139" w:name="_Toc25334"/>
      <w:bookmarkStart w:id="140" w:name="_Toc25249"/>
      <w:r>
        <w:rPr>
          <w:rFonts w:hint="eastAsia"/>
          <w:sz w:val="32"/>
          <w:szCs w:val="32"/>
          <w:lang w:val="en-US" w:eastAsia="zh-CN"/>
        </w:rPr>
        <w:t>三、事故原因</w:t>
      </w:r>
      <w:bookmarkEnd w:id="78"/>
      <w:bookmarkEnd w:id="79"/>
      <w:bookmarkEnd w:id="80"/>
      <w:bookmarkEnd w:id="81"/>
      <w:bookmarkEnd w:id="82"/>
      <w:r>
        <w:rPr>
          <w:rFonts w:hint="eastAsia"/>
          <w:sz w:val="32"/>
          <w:szCs w:val="32"/>
          <w:lang w:val="en-US" w:eastAsia="zh-CN"/>
        </w:rPr>
        <w:t>分析</w:t>
      </w:r>
      <w:bookmarkEnd w:id="131"/>
      <w:bookmarkEnd w:id="132"/>
      <w:bookmarkEnd w:id="133"/>
      <w:bookmarkEnd w:id="134"/>
      <w:bookmarkEnd w:id="135"/>
      <w:bookmarkEnd w:id="136"/>
      <w:bookmarkEnd w:id="137"/>
      <w:bookmarkEnd w:id="138"/>
      <w:bookmarkEnd w:id="139"/>
      <w:bookmarkEnd w:id="140"/>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41" w:name="_Toc10347"/>
      <w:bookmarkStart w:id="142" w:name="_Toc26617"/>
      <w:bookmarkStart w:id="143" w:name="_Toc24520"/>
      <w:bookmarkStart w:id="144" w:name="_Toc8393"/>
      <w:bookmarkStart w:id="145" w:name="_Toc545"/>
      <w:bookmarkStart w:id="146" w:name="_Toc5163"/>
      <w:bookmarkStart w:id="147" w:name="_Toc21079"/>
      <w:bookmarkStart w:id="148" w:name="_Toc30399"/>
      <w:bookmarkStart w:id="149" w:name="_Toc18099"/>
      <w:bookmarkStart w:id="150" w:name="_Toc18960"/>
      <w:bookmarkStart w:id="151" w:name="_Toc16895"/>
      <w:bookmarkStart w:id="152" w:name="_Toc4632"/>
      <w:bookmarkStart w:id="153" w:name="_Toc20622"/>
      <w:bookmarkStart w:id="154" w:name="_Toc19874"/>
      <w:bookmarkStart w:id="155" w:name="_Toc28088"/>
      <w:r>
        <w:rPr>
          <w:rFonts w:hint="eastAsia"/>
          <w:sz w:val="32"/>
          <w:szCs w:val="32"/>
          <w:lang w:val="en-US" w:eastAsia="zh-CN"/>
        </w:rPr>
        <w:t>（一）直接原因分析</w:t>
      </w:r>
      <w:bookmarkEnd w:id="141"/>
      <w:bookmarkEnd w:id="142"/>
      <w:bookmarkEnd w:id="143"/>
      <w:bookmarkEnd w:id="144"/>
      <w:bookmarkEnd w:id="145"/>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56" w:name="_Toc18705"/>
      <w:bookmarkStart w:id="157" w:name="_Toc5852"/>
      <w:r>
        <w:rPr>
          <w:rFonts w:hint="eastAsia" w:ascii="仿宋_GB2312" w:hAnsi="仿宋_GB2312" w:eastAsia="仿宋_GB2312" w:cs="仿宋_GB2312"/>
          <w:sz w:val="32"/>
          <w:szCs w:val="32"/>
          <w:lang w:val="en-US" w:eastAsia="zh-CN"/>
        </w:rPr>
        <w:t>熊祖登缺乏安全意识，对作业现场存在的安全风险辨识不足</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4"/>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，在升降机井道内作业时未将简易升降机平台下降至底坑停稳，站在升降机平台下垂直作业，使</w:t>
      </w:r>
      <w:r>
        <w:rPr>
          <w:rFonts w:hint="eastAsia" w:ascii="仿宋_GB2312" w:hAnsi="仿宋_GB2312" w:eastAsia="仿宋_GB2312" w:cs="仿宋_GB2312"/>
          <w:color w:val="auto"/>
          <w:sz w:val="32"/>
          <w:szCs w:val="32"/>
          <w:lang w:val="en-US" w:eastAsia="zh-CN"/>
        </w:rPr>
        <w:t>用铁锤撞击升降机的外围铁皮时，升降机受到冲击坠落，</w:t>
      </w:r>
      <w:r>
        <w:rPr>
          <w:rFonts w:hint="eastAsia" w:ascii="仿宋_GB2312" w:hAnsi="仿宋_GB2312" w:eastAsia="仿宋_GB2312" w:cs="仿宋_GB2312"/>
          <w:sz w:val="32"/>
          <w:szCs w:val="32"/>
          <w:lang w:val="en-US" w:eastAsia="zh-CN"/>
        </w:rPr>
        <w:t>不慎被升降机砸中致死。</w:t>
      </w:r>
      <w:bookmarkEnd w:id="156"/>
      <w:bookmarkEnd w:id="157"/>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58" w:name="_Toc10207"/>
      <w:bookmarkStart w:id="159" w:name="_Toc7096"/>
      <w:bookmarkStart w:id="160" w:name="_Toc21838"/>
      <w:bookmarkStart w:id="161" w:name="_Toc4544"/>
      <w:bookmarkStart w:id="162" w:name="_Toc11149"/>
      <w:bookmarkStart w:id="163" w:name="_Toc5076"/>
      <w:bookmarkStart w:id="164" w:name="_Toc2529"/>
      <w:bookmarkStart w:id="165" w:name="_Toc29331"/>
      <w:bookmarkStart w:id="166" w:name="_Toc5507"/>
      <w:bookmarkStart w:id="167" w:name="_Toc27325"/>
      <w:r>
        <w:rPr>
          <w:rFonts w:hint="eastAsia"/>
          <w:sz w:val="32"/>
          <w:szCs w:val="32"/>
          <w:lang w:val="en-US" w:eastAsia="zh-CN"/>
        </w:rPr>
        <w:t>（二）间接原因分析</w:t>
      </w:r>
      <w:bookmarkEnd w:id="158"/>
      <w:bookmarkEnd w:id="159"/>
      <w:bookmarkEnd w:id="160"/>
      <w:bookmarkEnd w:id="161"/>
      <w:bookmarkEnd w:id="162"/>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bookmarkStart w:id="168" w:name="_Toc30303"/>
      <w:bookmarkStart w:id="169" w:name="_Toc5417"/>
      <w:bookmarkStart w:id="170" w:name="_Toc17194"/>
      <w:r>
        <w:rPr>
          <w:rFonts w:hint="eastAsia" w:ascii="仿宋_GB2312" w:hAnsi="仿宋_GB2312" w:eastAsia="仿宋_GB2312" w:cs="仿宋_GB2312"/>
          <w:sz w:val="32"/>
          <w:szCs w:val="32"/>
          <w:lang w:val="en-US" w:eastAsia="zh-CN"/>
        </w:rPr>
        <w:t>余俊三，安全管理不到位，未能及时发现并消除作业现场没有采取坠落防护措施的事故隐患</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5"/>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bookmarkEnd w:id="168"/>
      <w:bookmarkEnd w:id="169"/>
      <w:bookmarkEnd w:id="170"/>
    </w:p>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71" w:name="_Toc31952"/>
      <w:bookmarkStart w:id="172" w:name="_Toc8848"/>
      <w:bookmarkStart w:id="173" w:name="_Toc297"/>
      <w:bookmarkStart w:id="174" w:name="_Toc7525"/>
      <w:bookmarkStart w:id="175" w:name="_Toc26706"/>
      <w:bookmarkStart w:id="176" w:name="_Toc25518"/>
      <w:bookmarkStart w:id="177" w:name="_Toc8697"/>
      <w:bookmarkStart w:id="178" w:name="_Toc5853"/>
      <w:bookmarkStart w:id="179" w:name="_Toc4563"/>
      <w:bookmarkStart w:id="180" w:name="_Toc10388"/>
      <w:r>
        <w:rPr>
          <w:rFonts w:hint="eastAsia"/>
          <w:sz w:val="32"/>
          <w:szCs w:val="32"/>
          <w:lang w:val="en-US" w:eastAsia="zh-CN"/>
        </w:rPr>
        <w:t>四、有关单位存在的主要问题</w:t>
      </w:r>
      <w:bookmarkEnd w:id="151"/>
      <w:bookmarkEnd w:id="152"/>
      <w:bookmarkEnd w:id="153"/>
      <w:bookmarkEnd w:id="154"/>
      <w:bookmarkEnd w:id="155"/>
      <w:bookmarkEnd w:id="171"/>
      <w:bookmarkEnd w:id="172"/>
      <w:bookmarkEnd w:id="173"/>
      <w:bookmarkEnd w:id="174"/>
      <w:bookmarkEnd w:id="175"/>
      <w:bookmarkEnd w:id="176"/>
      <w:bookmarkEnd w:id="177"/>
      <w:bookmarkEnd w:id="178"/>
      <w:bookmarkEnd w:id="179"/>
      <w:bookmarkEnd w:id="180"/>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81" w:name="_Toc5961"/>
      <w:bookmarkStart w:id="182" w:name="_Toc1605"/>
      <w:bookmarkStart w:id="183" w:name="_Toc29773"/>
      <w:bookmarkStart w:id="184" w:name="_Toc8295"/>
      <w:bookmarkStart w:id="185" w:name="_Toc15313"/>
      <w:bookmarkStart w:id="186" w:name="_Toc902"/>
      <w:bookmarkStart w:id="187" w:name="_Toc8812"/>
      <w:bookmarkStart w:id="188" w:name="_Toc15232"/>
      <w:r>
        <w:rPr>
          <w:rFonts w:hint="eastAsia"/>
          <w:sz w:val="32"/>
          <w:szCs w:val="32"/>
          <w:lang w:val="en-US" w:eastAsia="zh-CN"/>
        </w:rPr>
        <w:t>（一）流沙西街道赵厝寮村村民委员会</w:t>
      </w:r>
      <w:bookmarkEnd w:id="181"/>
    </w:p>
    <w:bookmarkEnd w:id="182"/>
    <w:bookmarkEnd w:id="183"/>
    <w:bookmarkEnd w:id="184"/>
    <w:bookmarkEnd w:id="185"/>
    <w:bookmarkEnd w:id="186"/>
    <w:bookmarkEnd w:id="187"/>
    <w:bookmarkEnd w:id="188"/>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89" w:name="_Toc11513"/>
      <w:bookmarkStart w:id="190" w:name="_Toc12714"/>
      <w:bookmarkStart w:id="191" w:name="_Toc22635"/>
      <w:bookmarkStart w:id="192" w:name="_Toc9638"/>
      <w:bookmarkStart w:id="193" w:name="_Toc875"/>
      <w:bookmarkStart w:id="194" w:name="_Toc14186"/>
      <w:bookmarkStart w:id="195" w:name="_Toc14718"/>
      <w:r>
        <w:rPr>
          <w:rFonts w:hint="eastAsia" w:ascii="仿宋_GB2312" w:hAnsi="仿宋_GB2312" w:eastAsia="仿宋_GB2312" w:cs="仿宋_GB2312"/>
          <w:sz w:val="32"/>
          <w:szCs w:val="32"/>
          <w:lang w:val="en-US" w:eastAsia="zh-CN"/>
        </w:rPr>
        <w:t>未能及时发现和制止余俊三违规拆除升降外围铁皮的行为，并向有关部门报告</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6"/>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，排查安全生产事故隐患不到位。</w:t>
      </w:r>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196" w:name="_Toc9160"/>
      <w:r>
        <w:rPr>
          <w:rFonts w:hint="eastAsia"/>
          <w:sz w:val="32"/>
          <w:szCs w:val="32"/>
          <w:lang w:val="en-US" w:eastAsia="zh-CN"/>
        </w:rPr>
        <w:t>（二）流沙西街道办事处</w:t>
      </w:r>
      <w:bookmarkEnd w:id="196"/>
    </w:p>
    <w:bookmarkEnd w:id="189"/>
    <w:bookmarkEnd w:id="190"/>
    <w:bookmarkEnd w:id="191"/>
    <w:bookmarkEnd w:id="192"/>
    <w:bookmarkEnd w:id="193"/>
    <w:bookmarkEnd w:id="194"/>
    <w:bookmarkEnd w:id="195"/>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97" w:name="_Toc31690"/>
      <w:bookmarkStart w:id="198" w:name="_Toc22168"/>
      <w:bookmarkStart w:id="199" w:name="_Toc3093"/>
      <w:bookmarkStart w:id="200" w:name="_Toc15895"/>
      <w:bookmarkStart w:id="201" w:name="_Toc23717"/>
      <w:bookmarkStart w:id="202" w:name="_Toc19793"/>
      <w:bookmarkStart w:id="203" w:name="_Toc20270"/>
      <w:bookmarkStart w:id="204" w:name="_Toc30536"/>
      <w:bookmarkStart w:id="205" w:name="_Toc7208"/>
      <w:bookmarkStart w:id="206" w:name="_Toc26307"/>
      <w:bookmarkStart w:id="207" w:name="_Toc26404"/>
      <w:bookmarkStart w:id="208" w:name="_Toc18394"/>
      <w:bookmarkStart w:id="209" w:name="_Toc21843"/>
      <w:bookmarkStart w:id="210" w:name="_Toc124"/>
      <w:r>
        <w:rPr>
          <w:rFonts w:hint="eastAsia" w:ascii="仿宋_GB2312" w:hAnsi="仿宋_GB2312" w:eastAsia="仿宋_GB2312" w:cs="仿宋_GB2312"/>
          <w:sz w:val="32"/>
          <w:szCs w:val="32"/>
          <w:lang w:val="en-US" w:eastAsia="zh-CN"/>
        </w:rPr>
        <w:t>对辖区内生产经营单位违规操作行为监督管理不到位，未及时发现其存在的安全隐患。</w:t>
      </w:r>
    </w:p>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11" w:name="_Toc5623"/>
      <w:r>
        <w:rPr>
          <w:rFonts w:hint="eastAsia"/>
          <w:sz w:val="32"/>
          <w:szCs w:val="32"/>
          <w:lang w:val="en-US" w:eastAsia="zh-CN"/>
        </w:rPr>
        <w:t>五、对有关人员和单位的处理建议</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12" w:name="_Toc26525"/>
      <w:bookmarkStart w:id="213" w:name="_Toc17986"/>
      <w:bookmarkStart w:id="214" w:name="_Toc591"/>
      <w:bookmarkStart w:id="215" w:name="_Toc32577"/>
      <w:bookmarkStart w:id="216" w:name="_Toc28331"/>
      <w:bookmarkStart w:id="217" w:name="_Toc9686"/>
      <w:bookmarkStart w:id="218" w:name="_Toc6081"/>
      <w:bookmarkStart w:id="219" w:name="_Toc30314"/>
      <w:bookmarkStart w:id="220" w:name="_Toc20770"/>
      <w:bookmarkStart w:id="221" w:name="_Toc32362"/>
      <w:bookmarkStart w:id="222" w:name="_Toc3519"/>
      <w:bookmarkStart w:id="223" w:name="_Toc11681"/>
      <w:bookmarkStart w:id="224" w:name="_Toc25312"/>
      <w:bookmarkStart w:id="225" w:name="_Toc13948"/>
      <w:bookmarkStart w:id="226" w:name="_Toc25101"/>
      <w:r>
        <w:rPr>
          <w:rFonts w:hint="eastAsia"/>
          <w:sz w:val="32"/>
          <w:szCs w:val="32"/>
          <w:lang w:val="en-US" w:eastAsia="zh-CN"/>
        </w:rPr>
        <w:t>（一）建议免予追究责任的人员</w:t>
      </w:r>
      <w:bookmarkEnd w:id="212"/>
      <w:bookmarkEnd w:id="213"/>
      <w:bookmarkEnd w:id="214"/>
      <w:bookmarkEnd w:id="215"/>
      <w:bookmarkEnd w:id="216"/>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熊祖登，没有进行安全培训，在升降机井道内作业时未将简易升降机平台下降至底坑停稳即进入作业现场，违章操作导致升降机坠落致其被砸身亡，对事故发生负有主要责任。鉴于其已在事故中死亡，建议免予追究责任。</w:t>
      </w:r>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27" w:name="_Toc7231"/>
      <w:bookmarkStart w:id="228" w:name="_Toc29356"/>
      <w:bookmarkStart w:id="229" w:name="_Toc952"/>
      <w:bookmarkStart w:id="230" w:name="_Toc20016"/>
      <w:bookmarkStart w:id="231" w:name="_Toc13382"/>
      <w:bookmarkStart w:id="232" w:name="_Toc19089"/>
      <w:bookmarkStart w:id="233" w:name="_Toc31402"/>
      <w:bookmarkStart w:id="234" w:name="_Toc11180"/>
      <w:bookmarkStart w:id="235" w:name="_Toc9810"/>
      <w:bookmarkStart w:id="236" w:name="_Toc24080"/>
      <w:r>
        <w:rPr>
          <w:rFonts w:hint="eastAsia"/>
          <w:sz w:val="32"/>
          <w:szCs w:val="32"/>
          <w:lang w:val="en-US" w:eastAsia="zh-CN"/>
        </w:rPr>
        <w:t>（二）</w:t>
      </w:r>
      <w:bookmarkEnd w:id="227"/>
      <w:bookmarkEnd w:id="228"/>
      <w:bookmarkEnd w:id="229"/>
      <w:bookmarkEnd w:id="230"/>
      <w:bookmarkEnd w:id="231"/>
      <w:r>
        <w:rPr>
          <w:rFonts w:hint="eastAsia"/>
          <w:sz w:val="32"/>
          <w:szCs w:val="32"/>
          <w:lang w:val="en-US" w:eastAsia="zh-CN"/>
        </w:rPr>
        <w:t>已被司法机关采取强制措施人员</w:t>
      </w:r>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余俊三，将升降机外围铁皮拆除作业发包给没有资质的熊祖登承包，未能对工人违规作业进行管理和现场制止，造成事故发生，因涉嫌重大劳动安全事故罪</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7"/>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，被公安机关采取强制措施，建议由司法机关依法落实处理。</w:t>
      </w:r>
    </w:p>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sz w:val="32"/>
          <w:szCs w:val="32"/>
          <w:lang w:val="en-US" w:eastAsia="zh-CN"/>
        </w:rPr>
      </w:pPr>
      <w:bookmarkStart w:id="237" w:name="_Toc22984"/>
      <w:bookmarkStart w:id="238" w:name="_Toc11997"/>
      <w:bookmarkStart w:id="239" w:name="_Toc5554"/>
      <w:bookmarkStart w:id="240" w:name="_Toc5964"/>
      <w:bookmarkStart w:id="241" w:name="_Toc1993"/>
      <w:bookmarkStart w:id="242" w:name="_Toc3058"/>
      <w:bookmarkStart w:id="243" w:name="_Toc28729"/>
      <w:bookmarkStart w:id="244" w:name="_Toc31834"/>
      <w:bookmarkStart w:id="245" w:name="_Toc23062"/>
      <w:r>
        <w:rPr>
          <w:rFonts w:hint="eastAsia"/>
          <w:sz w:val="32"/>
          <w:szCs w:val="32"/>
          <w:lang w:val="en-US" w:eastAsia="zh-CN"/>
        </w:rPr>
        <w:t>（三）对公职人员的处理建议</w:t>
      </w:r>
      <w:bookmarkEnd w:id="237"/>
      <w:bookmarkEnd w:id="238"/>
      <w:bookmarkEnd w:id="239"/>
      <w:bookmarkEnd w:id="240"/>
      <w:bookmarkEnd w:id="241"/>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事故调查组通过对相关情况和有关责任人进行调查取证，已认定性质为一般生产安全责任事故。对相关公职人员将线索移送纪检监察机关。</w:t>
      </w:r>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46" w:name="_Toc13002"/>
      <w:bookmarkStart w:id="247" w:name="_Toc13762"/>
      <w:bookmarkStart w:id="248" w:name="_Toc21305"/>
      <w:bookmarkStart w:id="249" w:name="_Toc10899"/>
      <w:bookmarkStart w:id="250" w:name="_Toc14808"/>
      <w:bookmarkStart w:id="251" w:name="_Toc10752"/>
      <w:bookmarkStart w:id="252" w:name="_Toc31856"/>
      <w:bookmarkStart w:id="253" w:name="_Toc1591"/>
      <w:bookmarkStart w:id="254" w:name="_Toc31597"/>
      <w:bookmarkStart w:id="255" w:name="_Toc23006"/>
      <w:r>
        <w:rPr>
          <w:rFonts w:hint="eastAsia"/>
          <w:sz w:val="32"/>
          <w:szCs w:val="32"/>
          <w:lang w:val="en-US" w:eastAsia="zh-CN"/>
        </w:rPr>
        <w:t>（四）其他处理建议</w:t>
      </w:r>
      <w:bookmarkEnd w:id="246"/>
      <w:bookmarkEnd w:id="247"/>
      <w:bookmarkEnd w:id="248"/>
      <w:bookmarkEnd w:id="249"/>
      <w:bookmarkEnd w:id="250"/>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256" w:name="_Toc22774"/>
      <w:bookmarkStart w:id="257" w:name="_Toc9505"/>
      <w:bookmarkStart w:id="258" w:name="_Toc10735"/>
      <w:bookmarkStart w:id="259" w:name="_Toc10193"/>
      <w:bookmarkStart w:id="260" w:name="_Toc550"/>
      <w:bookmarkStart w:id="261" w:name="_Toc5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US" w:eastAsia="zh-CN"/>
        </w:rPr>
        <w:t>流沙西街道办事处未能及时发现、排除辖区内升降机安装和使用存在的安全隐患，建议责成流沙西街道办事处向普宁市人民政府作出深刻书面检查。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2.流沙西街道赵厝寮村村委会日常开展安全生产巡查、检查工作不够深入细致，对辖区内违规施工行为未能做到及时排查、发现和上报，建议责成赵厝寮村村委会向流沙西街道办事处作出深刻检查。</w:t>
      </w:r>
    </w:p>
    <w:p>
      <w:pPr>
        <w:pStyle w:val="3"/>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eastAsia"/>
          <w:sz w:val="32"/>
          <w:szCs w:val="32"/>
          <w:lang w:val="en-US" w:eastAsia="zh-CN"/>
        </w:rPr>
      </w:pPr>
      <w:bookmarkStart w:id="262" w:name="_Toc20425"/>
      <w:bookmarkStart w:id="263" w:name="_Toc2629"/>
      <w:bookmarkStart w:id="264" w:name="_Toc31218"/>
      <w:bookmarkStart w:id="265" w:name="_Toc6943"/>
      <w:r>
        <w:rPr>
          <w:rFonts w:hint="eastAsia"/>
          <w:sz w:val="32"/>
          <w:szCs w:val="32"/>
          <w:lang w:val="en-US" w:eastAsia="zh-CN"/>
        </w:rPr>
        <w:t>六、</w:t>
      </w:r>
      <w:bookmarkEnd w:id="222"/>
      <w:bookmarkEnd w:id="223"/>
      <w:bookmarkEnd w:id="224"/>
      <w:bookmarkEnd w:id="225"/>
      <w:bookmarkEnd w:id="226"/>
      <w:r>
        <w:rPr>
          <w:rFonts w:hint="eastAsia"/>
          <w:sz w:val="32"/>
          <w:szCs w:val="32"/>
          <w:lang w:val="en-US" w:eastAsia="zh-CN"/>
        </w:rPr>
        <w:t>事故整改和防范措施</w:t>
      </w:r>
      <w:bookmarkEnd w:id="256"/>
      <w:bookmarkEnd w:id="257"/>
      <w:bookmarkEnd w:id="258"/>
      <w:bookmarkEnd w:id="259"/>
      <w:bookmarkEnd w:id="260"/>
      <w:bookmarkEnd w:id="261"/>
      <w:bookmarkEnd w:id="262"/>
      <w:bookmarkEnd w:id="263"/>
      <w:bookmarkEnd w:id="264"/>
      <w:bookmarkEnd w:id="265"/>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default"/>
          <w:sz w:val="32"/>
          <w:szCs w:val="32"/>
          <w:lang w:val="en-US" w:eastAsia="zh-CN"/>
        </w:rPr>
      </w:pPr>
      <w:bookmarkStart w:id="266" w:name="_Toc17606"/>
      <w:r>
        <w:rPr>
          <w:rFonts w:hint="eastAsia"/>
          <w:sz w:val="32"/>
          <w:szCs w:val="32"/>
          <w:lang w:val="en-US" w:eastAsia="zh-CN"/>
        </w:rPr>
        <w:t>（一）加大巡查检查力度</w:t>
      </w:r>
      <w:bookmarkEnd w:id="26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赵厝寮村村委会要认真总结事故教训，对辖区内升降机安装行为进行深入、全面的检查排查，对辖区内使用升降机作业存在的安全隐患要做到及时发现，及时制止，防止类似事故再次发生。</w:t>
      </w:r>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default"/>
          <w:sz w:val="32"/>
          <w:szCs w:val="32"/>
          <w:lang w:val="en-US" w:eastAsia="zh-CN"/>
        </w:rPr>
      </w:pPr>
      <w:bookmarkStart w:id="267" w:name="_Toc968"/>
      <w:r>
        <w:rPr>
          <w:rFonts w:hint="eastAsia"/>
          <w:sz w:val="32"/>
          <w:szCs w:val="32"/>
          <w:lang w:val="en-US" w:eastAsia="zh-CN"/>
        </w:rPr>
        <w:t>（二）落实安全主体责任</w:t>
      </w:r>
      <w:bookmarkEnd w:id="2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沙西街道办事处要加大监管力度，督促辖区内要落实好安全生产主体责任；要加大安全宣传和教育力度，提高广大人民群众的安全意识，同时对辖区内简易升降机安装和使用情况进行全面排查，消除安全隐患，防范事故发生。</w:t>
      </w:r>
    </w:p>
    <w:p>
      <w:pPr>
        <w:pStyle w:val="4"/>
        <w:pageBreakBefore w:val="0"/>
        <w:widowControl w:val="0"/>
        <w:kinsoku/>
        <w:wordWrap/>
        <w:overflowPunct/>
        <w:topLinePunct w:val="0"/>
        <w:autoSpaceDE/>
        <w:autoSpaceDN/>
        <w:bidi w:val="0"/>
        <w:adjustRightInd/>
        <w:snapToGrid/>
        <w:spacing w:beforeLines="0" w:afterLines="0"/>
        <w:ind w:firstLine="640" w:firstLineChars="200"/>
        <w:textAlignment w:val="auto"/>
        <w:rPr>
          <w:rFonts w:hint="default"/>
          <w:sz w:val="32"/>
          <w:szCs w:val="32"/>
          <w:lang w:val="en-US" w:eastAsia="zh-CN"/>
        </w:rPr>
      </w:pPr>
      <w:bookmarkStart w:id="268" w:name="_Toc9997"/>
      <w:r>
        <w:rPr>
          <w:rFonts w:hint="eastAsia"/>
          <w:sz w:val="32"/>
          <w:szCs w:val="32"/>
          <w:lang w:val="en-US" w:eastAsia="zh-CN"/>
        </w:rPr>
        <w:t>（三）深入开展整治行动</w:t>
      </w:r>
      <w:bookmarkEnd w:id="268"/>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各地各有关部门要举一反三，加大监督管理，深入细致开展主管行业领域重大事故隐患排查整治行动，及时发现隐患问题，并立即落实整改。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before="0" w:beforeLines="0" w:line="600" w:lineRule="exact"/>
        <w:textAlignment w:val="auto"/>
        <w:rPr>
          <w:rFonts w:hint="eastAsia"/>
          <w:color w:val="FF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3200" w:firstLineChars="10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普宁流沙西装修作业“7·14”一般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160" w:firstLineChars="13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 xml:space="preserve">物体打击事故调查组 </w:t>
      </w:r>
    </w:p>
    <w:p>
      <w:pPr>
        <w:rPr>
          <w:rFonts w:hint="default"/>
          <w:color w:val="auto"/>
          <w:lang w:val="en-US" w:eastAsia="zh-CN"/>
        </w:rPr>
      </w:pPr>
    </w:p>
    <w:sectPr>
      <w:footerReference r:id="rId5" w:type="default"/>
      <w:pgSz w:w="11906" w:h="16838"/>
      <w:pgMar w:top="2098" w:right="1474" w:bottom="1984" w:left="1587" w:header="851" w:footer="992" w:gutter="0"/>
      <w:pgNumType w:fmt="numberInDash"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10"/>
        <w:snapToGrid w:val="0"/>
        <w:rPr>
          <w:rFonts w:hint="default" w:eastAsia="宋体"/>
          <w:lang w:val="en-US" w:eastAsia="zh-CN"/>
        </w:rPr>
      </w:pPr>
      <w:r>
        <w:rPr>
          <w:rStyle w:val="15"/>
        </w:rPr>
        <w:t>[</w:t>
      </w:r>
      <w:r>
        <w:rPr>
          <w:rStyle w:val="15"/>
        </w:rPr>
        <w:footnoteRef/>
      </w:r>
      <w:r>
        <w:rPr>
          <w:rStyle w:val="15"/>
        </w:rPr>
        <w:t>]</w:t>
      </w:r>
      <w:r>
        <w:t xml:space="preserve"> </w:t>
      </w:r>
      <w:r>
        <w:rPr>
          <w:rFonts w:hint="eastAsia"/>
          <w:lang w:val="en-US" w:eastAsia="zh-CN"/>
        </w:rPr>
        <w:t>余××，男，38岁，广东普宁人，身份证号码：445××××××××5155，系涉事楼房承租人。</w:t>
      </w:r>
    </w:p>
  </w:footnote>
  <w:footnote w:id="1">
    <w:p>
      <w:pPr>
        <w:pStyle w:val="10"/>
        <w:snapToGrid w:val="0"/>
        <w:rPr>
          <w:rFonts w:hint="default" w:eastAsia="宋体"/>
          <w:lang w:val="en-US" w:eastAsia="zh-CN"/>
        </w:rPr>
      </w:pPr>
      <w:r>
        <w:rPr>
          <w:rStyle w:val="15"/>
        </w:rPr>
        <w:t>[</w:t>
      </w:r>
      <w:r>
        <w:rPr>
          <w:rStyle w:val="15"/>
        </w:rPr>
        <w:footnoteRef/>
      </w:r>
      <w:r>
        <w:rPr>
          <w:rStyle w:val="15"/>
        </w:rPr>
        <w:t>]</w:t>
      </w:r>
      <w:r>
        <w:t xml:space="preserve"> </w:t>
      </w:r>
      <w:r>
        <w:rPr>
          <w:rFonts w:hint="eastAsia"/>
          <w:lang w:val="en-US" w:eastAsia="zh-CN"/>
        </w:rPr>
        <w:t>李××，女，60岁，广东普宁人，身份证号码：4405××××××××32X，系涉事楼房业主。</w:t>
      </w:r>
    </w:p>
  </w:footnote>
  <w:footnote w:id="2">
    <w:p>
      <w:pPr>
        <w:pStyle w:val="10"/>
        <w:snapToGrid w:val="0"/>
        <w:rPr>
          <w:rFonts w:hint="default" w:eastAsia="宋体"/>
          <w:lang w:val="en-US" w:eastAsia="zh-CN"/>
        </w:rPr>
      </w:pPr>
      <w:r>
        <w:rPr>
          <w:rStyle w:val="15"/>
        </w:rPr>
        <w:t>[</w:t>
      </w:r>
      <w:r>
        <w:rPr>
          <w:rStyle w:val="15"/>
        </w:rPr>
        <w:footnoteRef/>
      </w:r>
      <w:r>
        <w:rPr>
          <w:rStyle w:val="15"/>
        </w:rPr>
        <w:t>]</w:t>
      </w:r>
      <w:r>
        <w:t xml:space="preserve"> </w:t>
      </w:r>
      <w:r>
        <w:rPr>
          <w:rFonts w:hint="eastAsia"/>
          <w:lang w:val="en-US" w:eastAsia="zh-CN"/>
        </w:rPr>
        <w:t>熊××，男，59岁，死者，江西赣州人，身份证号码：3621××××××××</w:t>
      </w:r>
      <w:bookmarkStart w:id="269" w:name="_GoBack"/>
      <w:bookmarkEnd w:id="269"/>
      <w:r>
        <w:rPr>
          <w:rFonts w:hint="eastAsia"/>
          <w:lang w:val="en-US" w:eastAsia="zh-CN"/>
        </w:rPr>
        <w:t>3934，系余俊三雇佣工人。</w:t>
      </w:r>
    </w:p>
  </w:footnote>
  <w:footnote w:id="3">
    <w:p>
      <w:pPr>
        <w:pStyle w:val="10"/>
        <w:snapToGrid w:val="0"/>
        <w:rPr>
          <w:rFonts w:hint="default" w:eastAsia="宋体"/>
          <w:lang w:val="en-US" w:eastAsia="zh-CN"/>
        </w:rPr>
      </w:pPr>
      <w:r>
        <w:rPr>
          <w:rStyle w:val="15"/>
        </w:rPr>
        <w:t>[</w:t>
      </w:r>
      <w:r>
        <w:rPr>
          <w:rStyle w:val="15"/>
        </w:rPr>
        <w:footnoteRef/>
      </w:r>
      <w:r>
        <w:rPr>
          <w:rStyle w:val="15"/>
        </w:rPr>
        <w:t>]</w:t>
      </w:r>
      <w:r>
        <w:t xml:space="preserve"> </w:t>
      </w:r>
      <w:r>
        <w:rPr>
          <w:rFonts w:hint="eastAsia"/>
          <w:lang w:eastAsia="zh-CN"/>
        </w:rPr>
        <w:t>《</w:t>
      </w:r>
      <w:r>
        <w:rPr>
          <w:rFonts w:hint="eastAsia"/>
          <w:lang w:val="en-US" w:eastAsia="zh-CN"/>
        </w:rPr>
        <w:t>安全生产法</w:t>
      </w:r>
      <w:r>
        <w:rPr>
          <w:rFonts w:hint="eastAsia"/>
          <w:lang w:eastAsia="zh-CN"/>
        </w:rPr>
        <w:t>》</w:t>
      </w:r>
      <w:r>
        <w:rPr>
          <w:rFonts w:hint="eastAsia"/>
          <w:lang w:val="en-US" w:eastAsia="zh-CN"/>
        </w:rPr>
        <w:t>第二章第四十九条第二款：生产经营项目、场所发包或者出租给其他单位的，生产经营单位应当与承包单位、承租单位签订专门的安全生产管理协议，或者在承包合同、租赁合同中约定各自的安全生产管理职责；.....</w:t>
      </w:r>
    </w:p>
  </w:footnote>
  <w:footnote w:id="4">
    <w:p>
      <w:pPr>
        <w:pStyle w:val="10"/>
        <w:snapToGrid w:val="0"/>
        <w:rPr>
          <w:rFonts w:hint="default"/>
          <w:lang w:val="en-US" w:eastAsia="zh-CN"/>
        </w:rPr>
      </w:pPr>
      <w:r>
        <w:rPr>
          <w:rStyle w:val="15"/>
        </w:rPr>
        <w:t>[</w:t>
      </w:r>
      <w:r>
        <w:rPr>
          <w:rStyle w:val="15"/>
        </w:rPr>
        <w:footnoteRef/>
      </w:r>
      <w:r>
        <w:rPr>
          <w:rStyle w:val="15"/>
        </w:rPr>
        <w:t>]</w:t>
      </w:r>
      <w:r>
        <w:t xml:space="preserve"> </w:t>
      </w:r>
      <w:r>
        <w:rPr>
          <w:rFonts w:hint="eastAsia"/>
          <w:lang w:eastAsia="zh-CN"/>
        </w:rPr>
        <w:t>《</w:t>
      </w:r>
      <w:r>
        <w:rPr>
          <w:rFonts w:hint="eastAsia"/>
          <w:lang w:val="en-US" w:eastAsia="zh-CN"/>
        </w:rPr>
        <w:t>安全生产法</w:t>
      </w:r>
      <w:r>
        <w:rPr>
          <w:rFonts w:hint="eastAsia"/>
          <w:lang w:eastAsia="zh-CN"/>
        </w:rPr>
        <w:t>》</w:t>
      </w:r>
      <w:r>
        <w:rPr>
          <w:rFonts w:hint="eastAsia"/>
          <w:lang w:val="en-US" w:eastAsia="zh-CN"/>
        </w:rPr>
        <w:t>第三章第五十八条：</w:t>
      </w:r>
      <w:r>
        <w:rPr>
          <w:rFonts w:hint="eastAsia"/>
          <w:lang w:eastAsia="zh-CN"/>
        </w:rPr>
        <w:t>从业人员应当接受安全生产教育和培训，掌握本职工作所需的安全生产知识，提高安全生产技能，增强事故预防和应急处理能力。</w:t>
      </w:r>
    </w:p>
  </w:footnote>
  <w:footnote w:id="5">
    <w:p>
      <w:pPr>
        <w:pStyle w:val="10"/>
        <w:snapToGrid w:val="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val="en-US" w:eastAsia="zh-CN"/>
        </w:rPr>
        <w:t>》第二章第二十五条：生产经营单位的安全生产管理机构以及安全生产管理人员履行下列职责：……（五）检查本单位的安全生产状况，及时排查生产安全事故隐患，提出改进安全生产管理</w:t>
      </w:r>
      <w:r>
        <w:rPr>
          <w:rFonts w:hint="eastAsia" w:ascii="宋体" w:hAnsi="宋体" w:eastAsia="宋体" w:cs="宋体"/>
          <w:lang w:val="en-US" w:eastAsia="zh-CN"/>
        </w:rPr>
        <w:t>的建议；（六）制止和纠正违章指挥、强令冒险作业、违反操作规程的行为……；</w:t>
      </w:r>
    </w:p>
  </w:footnote>
  <w:footnote w:id="6">
    <w:p>
      <w:pPr>
        <w:pStyle w:val="10"/>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w:t>
      </w:r>
      <w:r>
        <w:rPr>
          <w:rFonts w:hint="eastAsia"/>
          <w:lang w:eastAsia="zh-CN"/>
        </w:rPr>
        <w:t>》</w:t>
      </w:r>
      <w:r>
        <w:rPr>
          <w:rFonts w:hint="eastAsia"/>
          <w:lang w:val="en-US" w:eastAsia="zh-CN"/>
        </w:rPr>
        <w:t>第四章</w:t>
      </w:r>
      <w:r>
        <w:rPr>
          <w:rFonts w:hint="eastAsia"/>
        </w:rPr>
        <w:t>第七十五条</w:t>
      </w:r>
      <w:r>
        <w:rPr>
          <w:rFonts w:hint="eastAsia"/>
          <w:lang w:eastAsia="zh-CN"/>
        </w:rPr>
        <w:t>：</w:t>
      </w:r>
      <w:r>
        <w:rPr>
          <w:rFonts w:hint="eastAsia"/>
        </w:rPr>
        <w:t>居民委员会、村民委员会发现其所在区域内的生产经营单位存在事故隐患或者安全生产违法行为时，应当向当地人民政府或者有关部门报告。</w:t>
      </w:r>
    </w:p>
  </w:footnote>
  <w:footnote w:id="7">
    <w:p>
      <w:pPr>
        <w:pStyle w:val="10"/>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《刑法》第二编第二章第一百三十五条</w:t>
      </w:r>
      <w:r>
        <w:rPr>
          <w:rFonts w:hint="eastAsia" w:ascii="宋体" w:hAnsi="宋体" w:cs="宋体"/>
          <w:lang w:val="en-US" w:eastAsia="zh-CN"/>
        </w:rPr>
        <w:t>：</w:t>
      </w:r>
      <w:r>
        <w:rPr>
          <w:rFonts w:hint="eastAsia" w:ascii="宋体" w:hAnsi="宋体" w:eastAsia="宋体" w:cs="宋体"/>
          <w:lang w:val="en-US" w:eastAsia="zh-CN"/>
        </w:rPr>
        <w:t>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footnotePr>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2NjMzA1MTllNjU2NDBmMjJlNzY3N2ZmZGRiMWUifQ=="/>
  </w:docVars>
  <w:rsids>
    <w:rsidRoot w:val="00000000"/>
    <w:rsid w:val="00825396"/>
    <w:rsid w:val="052E2449"/>
    <w:rsid w:val="05703C45"/>
    <w:rsid w:val="057D0815"/>
    <w:rsid w:val="07395391"/>
    <w:rsid w:val="08B93C3E"/>
    <w:rsid w:val="0A515570"/>
    <w:rsid w:val="0CA41DDF"/>
    <w:rsid w:val="0CC0076D"/>
    <w:rsid w:val="0D493D18"/>
    <w:rsid w:val="0DC723DD"/>
    <w:rsid w:val="0E035AFB"/>
    <w:rsid w:val="0E37265D"/>
    <w:rsid w:val="0E9C6B5C"/>
    <w:rsid w:val="0EA053FC"/>
    <w:rsid w:val="0F2C0A1D"/>
    <w:rsid w:val="0F5B1D46"/>
    <w:rsid w:val="11BF68B1"/>
    <w:rsid w:val="13F23B13"/>
    <w:rsid w:val="143E7E89"/>
    <w:rsid w:val="158C4FC9"/>
    <w:rsid w:val="162B7E36"/>
    <w:rsid w:val="185B7554"/>
    <w:rsid w:val="193D7C9A"/>
    <w:rsid w:val="1C160934"/>
    <w:rsid w:val="1CA02ADB"/>
    <w:rsid w:val="1D333941"/>
    <w:rsid w:val="212C2263"/>
    <w:rsid w:val="21AF04AC"/>
    <w:rsid w:val="22F07C26"/>
    <w:rsid w:val="23780C96"/>
    <w:rsid w:val="23A52142"/>
    <w:rsid w:val="24CA0735"/>
    <w:rsid w:val="259865C8"/>
    <w:rsid w:val="27CB46F5"/>
    <w:rsid w:val="27CFB303"/>
    <w:rsid w:val="27D95335"/>
    <w:rsid w:val="294D6B14"/>
    <w:rsid w:val="2A28598E"/>
    <w:rsid w:val="2F101E6D"/>
    <w:rsid w:val="2FBF5BFF"/>
    <w:rsid w:val="32F22440"/>
    <w:rsid w:val="34617316"/>
    <w:rsid w:val="36E64C2A"/>
    <w:rsid w:val="39932A48"/>
    <w:rsid w:val="39F4235E"/>
    <w:rsid w:val="3A293F7F"/>
    <w:rsid w:val="3A70706E"/>
    <w:rsid w:val="3BBD0335"/>
    <w:rsid w:val="3C101F4E"/>
    <w:rsid w:val="3C64549F"/>
    <w:rsid w:val="3C9270EC"/>
    <w:rsid w:val="3D9C09E1"/>
    <w:rsid w:val="3F37676C"/>
    <w:rsid w:val="41BC3C28"/>
    <w:rsid w:val="42583943"/>
    <w:rsid w:val="42DC70C7"/>
    <w:rsid w:val="431450ED"/>
    <w:rsid w:val="43C80A96"/>
    <w:rsid w:val="44477744"/>
    <w:rsid w:val="4568508F"/>
    <w:rsid w:val="45C0799E"/>
    <w:rsid w:val="46A52BC7"/>
    <w:rsid w:val="46B36A3B"/>
    <w:rsid w:val="471823F0"/>
    <w:rsid w:val="47AD4EFF"/>
    <w:rsid w:val="4B764F4E"/>
    <w:rsid w:val="4BED7988"/>
    <w:rsid w:val="4F2C0D72"/>
    <w:rsid w:val="51C22C05"/>
    <w:rsid w:val="53425A4E"/>
    <w:rsid w:val="54FC0A9C"/>
    <w:rsid w:val="57E353D6"/>
    <w:rsid w:val="587A266A"/>
    <w:rsid w:val="589C46D4"/>
    <w:rsid w:val="598A1A3D"/>
    <w:rsid w:val="5ABB1E27"/>
    <w:rsid w:val="5C334F00"/>
    <w:rsid w:val="5CAD3CF9"/>
    <w:rsid w:val="60A30DA3"/>
    <w:rsid w:val="628C4B97"/>
    <w:rsid w:val="63BE49E4"/>
    <w:rsid w:val="658718C4"/>
    <w:rsid w:val="67520CE4"/>
    <w:rsid w:val="676A1438"/>
    <w:rsid w:val="67BE15B5"/>
    <w:rsid w:val="68EC3E32"/>
    <w:rsid w:val="68ED2C87"/>
    <w:rsid w:val="6ACB5E08"/>
    <w:rsid w:val="6EB45EBD"/>
    <w:rsid w:val="6F3525E1"/>
    <w:rsid w:val="6FFF5EBC"/>
    <w:rsid w:val="7094292C"/>
    <w:rsid w:val="70CC4C15"/>
    <w:rsid w:val="716F406F"/>
    <w:rsid w:val="71A651FE"/>
    <w:rsid w:val="71AA6E74"/>
    <w:rsid w:val="72BF2C25"/>
    <w:rsid w:val="72D84D32"/>
    <w:rsid w:val="73B153C5"/>
    <w:rsid w:val="74E84350"/>
    <w:rsid w:val="75CF495D"/>
    <w:rsid w:val="789C7E3D"/>
    <w:rsid w:val="7B0D56D4"/>
    <w:rsid w:val="7C0B0FD0"/>
    <w:rsid w:val="7CE93F8A"/>
    <w:rsid w:val="7E1F2805"/>
    <w:rsid w:val="7EC3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link w:val="16"/>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spacing w:line="240" w:lineRule="auto"/>
      <w:jc w:val="left"/>
    </w:pPr>
    <w:rPr>
      <w:sz w:val="18"/>
      <w:szCs w:val="18"/>
    </w:rPr>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character" w:styleId="15">
    <w:name w:val="footnote reference"/>
    <w:basedOn w:val="14"/>
    <w:qFormat/>
    <w:uiPriority w:val="0"/>
    <w:rPr>
      <w:vertAlign w:val="superscript"/>
    </w:rPr>
  </w:style>
  <w:style w:type="character" w:customStyle="1" w:styleId="16">
    <w:name w:val="标题 3 Char"/>
    <w:link w:val="5"/>
    <w:qFormat/>
    <w:uiPriority w:val="0"/>
    <w:rPr>
      <w:rFonts w:ascii="仿宋_GB2312" w:hAnsi="仿宋_GB2312" w:eastAsia="仿宋_GB2312"/>
      <w:b/>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3594</Words>
  <Characters>3669</Characters>
  <Lines>0</Lines>
  <Paragraphs>0</Paragraphs>
  <TotalTime>26</TotalTime>
  <ScaleCrop>false</ScaleCrop>
  <LinksUpToDate>false</LinksUpToDate>
  <CharactersWithSpaces>3818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2022-06-21T17:26:00Z</dcterms:created>
  <dc:creator>admin</dc:creator>
  <cp:lastModifiedBy>abc</cp:lastModifiedBy>
  <cp:lastPrinted>2023-09-14T09:04:00Z</cp:lastPrinted>
  <dcterms:modified xsi:type="dcterms:W3CDTF">2024-02-04T10:55:25Z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C74E8381797A4FBC8E34271BD30631B7_13</vt:lpwstr>
  </property>
</Properties>
</file>