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bookmarkStart w:id="0" w:name="PO_part2Table5Area1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2023</w:t>
            </w:r>
            <w:r>
              <w:rPr>
                <w:rFonts w:hint="eastAsia" w:ascii="黑体" w:hAnsi="黑体" w:eastAsia="黑体" w:cs="黑体"/>
                <w:kern w:val="0"/>
                <w:sz w:val="11"/>
                <w:szCs w:val="11"/>
              </w:rPr>
              <w:t xml:space="preserve"> </w:t>
            </w:r>
            <w:bookmarkEnd w:id="0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</w:t>
            </w:r>
            <w:bookmarkStart w:id="1" w:name="PO_part2Table5Area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  <w:lang w:eastAsia="zh-CN"/>
              </w:rPr>
              <w:t>普宁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市本级</w:t>
            </w:r>
            <w:r>
              <w:rPr>
                <w:rFonts w:hint="eastAsia" w:ascii="黑体" w:hAnsi="黑体" w:eastAsia="黑体" w:cs="方正小标宋简体"/>
                <w:kern w:val="0"/>
                <w:sz w:val="11"/>
                <w:szCs w:val="11"/>
              </w:rPr>
              <w:t xml:space="preserve"> </w:t>
            </w:r>
            <w:bookmarkEnd w:id="1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一般公共预算“三公”经费表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2,349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1,661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1,426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650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备注:本级一般公共预算中安排的“三公”经费是指部门预算基本支出及项目支出中安排的因公出国（境）支出、公务用车购置及运行维护支出和公务接待费支出。</w:t>
      </w:r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 </w:t>
      </w:r>
    </w:p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4"/>
          <w:lang w:bidi="ar"/>
        </w:rPr>
        <w:br w:type="page"/>
      </w:r>
    </w:p>
    <w:p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2" w:name="PO_part2PublicTitle_Year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bidi="ar"/>
        </w:rPr>
        <w:t>2023</w:t>
      </w:r>
      <w:r>
        <w:rPr>
          <w:rFonts w:ascii="黑体" w:hAnsi="黑体" w:eastAsia="黑体" w:cs="等线 Light"/>
          <w:b/>
          <w:bCs/>
          <w:sz w:val="11"/>
          <w:szCs w:val="11"/>
        </w:rPr>
        <w:t xml:space="preserve"> </w:t>
      </w:r>
      <w:bookmarkEnd w:id="2"/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3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  <w:lang w:eastAsia="zh-CN"/>
        </w:rPr>
        <w:t>普宁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市本级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bookmarkEnd w:id="3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一般公共预算“三公”经费安排及变动情况的说明</w:t>
      </w:r>
    </w:p>
    <w:p>
      <w:pPr>
        <w:pStyle w:val="2"/>
      </w:pPr>
      <w:bookmarkStart w:id="4" w:name="PO_part2Public_Year"/>
      <w:r>
        <w:rPr>
          <w:rFonts w:hint="eastAsia" w:ascii="黑体" w:hAnsi="黑体" w:eastAsia="黑体" w:cs="等线"/>
          <w:sz w:val="32"/>
          <w:szCs w:val="32"/>
        </w:rPr>
        <w:t>2023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4"/>
      <w:r>
        <w:rPr>
          <w:rFonts w:hint="eastAsia" w:ascii="黑体" w:hAnsi="黑体" w:eastAsia="黑体" w:cs="等线"/>
          <w:sz w:val="32"/>
          <w:szCs w:val="32"/>
        </w:rPr>
        <w:t>年本级财政拨款安排“三公”经费</w:t>
      </w:r>
      <w:bookmarkStart w:id="5" w:name="PO_part2Public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2349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5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6" w:name="PO_part2Public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196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6"/>
      <w:r>
        <w:rPr>
          <w:rFonts w:hint="eastAsia" w:ascii="黑体" w:hAnsi="黑体" w:eastAsia="黑体" w:cs="等线"/>
          <w:sz w:val="32"/>
          <w:szCs w:val="32"/>
        </w:rPr>
        <w:t>万元</w:t>
      </w:r>
      <w:r>
        <w:rPr>
          <w:rFonts w:hint="eastAsia" w:ascii="黑体" w:hAnsi="黑体" w:eastAsia="黑体" w:cs="等线"/>
          <w:b/>
          <w:sz w:val="32"/>
          <w:szCs w:val="32"/>
        </w:rPr>
        <w:t>，</w:t>
      </w:r>
      <w:r>
        <w:rPr>
          <w:rFonts w:hint="eastAsia" w:ascii="黑体" w:hAnsi="黑体" w:eastAsia="黑体" w:cs="等线"/>
          <w:sz w:val="32"/>
          <w:szCs w:val="32"/>
        </w:rPr>
        <w:t>原因是</w:t>
      </w:r>
      <w:bookmarkStart w:id="7" w:name="PO_part2Public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2023年各部门（单位）落实过“紧日子”要求，</w:t>
      </w:r>
      <w:r>
        <w:rPr>
          <w:rFonts w:hint="eastAsia" w:ascii="黑体" w:hAnsi="黑体" w:eastAsia="黑体" w:cs="等线"/>
          <w:sz w:val="32"/>
          <w:szCs w:val="32"/>
        </w:rPr>
        <w:t>严格按照中央八项规定</w:t>
      </w:r>
      <w:bookmarkStart w:id="20" w:name="_GoBack"/>
      <w:bookmarkEnd w:id="20"/>
      <w:r>
        <w:rPr>
          <w:rFonts w:hint="eastAsia" w:ascii="黑体" w:hAnsi="黑体" w:eastAsia="黑体" w:cs="等线"/>
          <w:sz w:val="32"/>
          <w:szCs w:val="32"/>
        </w:rPr>
        <w:t>的要求、厉行节约，严控“三公”支出，“三公”经费总额只减不增。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7"/>
      <w:r>
        <w:rPr>
          <w:rFonts w:hint="eastAsia" w:ascii="黑体" w:hAnsi="黑体" w:eastAsia="黑体" w:cs="等线"/>
          <w:sz w:val="32"/>
          <w:szCs w:val="32"/>
        </w:rPr>
        <w:t>其中：因公出国（境）支出</w:t>
      </w:r>
      <w:bookmarkStart w:id="8" w:name="PO_part2PublicAbroad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38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8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9" w:name="PO_part2PublicAbroad_Compare"/>
      <w:r>
        <w:rPr>
          <w:rFonts w:hint="eastAsia" w:ascii="黑体" w:hAnsi="黑体" w:eastAsia="黑体" w:cs="等线"/>
          <w:sz w:val="32"/>
          <w:szCs w:val="32"/>
        </w:rPr>
        <w:t>增加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9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10" w:name="PO_part2PublicAbroad_Reason"/>
      <w:r>
        <w:rPr>
          <w:rFonts w:hint="eastAsia" w:ascii="黑体" w:hAnsi="黑体" w:eastAsia="黑体" w:cs="等线"/>
          <w:sz w:val="32"/>
          <w:szCs w:val="32"/>
        </w:rPr>
        <w:t>较上年持平，无增减变化）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0"/>
      <w:r>
        <w:rPr>
          <w:rFonts w:hint="eastAsia" w:ascii="黑体" w:hAnsi="黑体" w:eastAsia="黑体" w:cs="等线"/>
          <w:sz w:val="32"/>
          <w:szCs w:val="32"/>
        </w:rPr>
        <w:t>；公务用车购置及运行维护支出</w:t>
      </w:r>
      <w:bookmarkStart w:id="11" w:name="PO_part2Public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1661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1"/>
      <w:r>
        <w:rPr>
          <w:rFonts w:hint="eastAsia" w:ascii="黑体" w:hAnsi="黑体" w:eastAsia="黑体" w:cs="等线"/>
          <w:sz w:val="32"/>
          <w:szCs w:val="32"/>
        </w:rPr>
        <w:t>万元（公务用车购置费</w:t>
      </w:r>
      <w:bookmarkStart w:id="12" w:name="PO_part2PublicBuy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235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2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13" w:name="PO_part2PublicAbroad_Compare1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3"/>
      <w:r>
        <w:rPr>
          <w:rFonts w:hint="eastAsia" w:ascii="黑体" w:hAnsi="黑体" w:eastAsia="黑体" w:cs="等线"/>
          <w:sz w:val="32"/>
          <w:szCs w:val="32"/>
        </w:rPr>
        <w:t>万元；公务用车运行维护费</w:t>
      </w:r>
      <w:bookmarkStart w:id="14" w:name="PO_part2PublicRepair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1426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4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15" w:name="PO_part2PublicAbroad_Compare2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192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5"/>
      <w:r>
        <w:rPr>
          <w:rFonts w:hint="eastAsia" w:ascii="黑体" w:hAnsi="黑体" w:eastAsia="黑体" w:cs="等线"/>
          <w:sz w:val="32"/>
          <w:szCs w:val="32"/>
        </w:rPr>
        <w:t>万元。）比上年</w:t>
      </w:r>
      <w:bookmarkStart w:id="16" w:name="PO_part2PublicCar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193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6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17" w:name="PO_part2PublicCar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等线"/>
          <w:sz w:val="32"/>
          <w:szCs w:val="32"/>
        </w:rPr>
        <w:t>各部门（单位）严控公务用车购置及运行维护支出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7"/>
      <w:r>
        <w:rPr>
          <w:rFonts w:hint="eastAsia" w:ascii="黑体" w:hAnsi="黑体" w:eastAsia="黑体" w:cs="等线"/>
          <w:sz w:val="32"/>
          <w:szCs w:val="32"/>
        </w:rPr>
        <w:t>；公务接待费支出</w:t>
      </w:r>
      <w:bookmarkStart w:id="18" w:name="PO_part2PublicRecept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650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8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19" w:name="PO_part2PublicRecept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3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9"/>
      <w:r>
        <w:rPr>
          <w:rFonts w:hint="eastAsia" w:ascii="黑体" w:hAnsi="黑体" w:eastAsia="黑体" w:cs="等线"/>
          <w:sz w:val="32"/>
          <w:szCs w:val="32"/>
        </w:rPr>
        <w:t>万元，原因是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等线"/>
          <w:sz w:val="32"/>
          <w:szCs w:val="32"/>
        </w:rPr>
        <w:t>各部门（单位）严控公务接待费支出。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2E8E"/>
    <w:rsid w:val="367B2E8E"/>
    <w:rsid w:val="5E6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2023-03-22T09:13:00Z</dcterms:created>
  <dc:creator>猫目谷谷金</dc:creator>
  <cp:lastModifiedBy>猫目谷谷金</cp:lastModifiedBy>
  <dcterms:modified xsi:type="dcterms:W3CDTF">2024-02-05T09:14:15Z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